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C52A0" w:rsidRPr="002C52A0" w:rsidTr="002C52A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2C52A0" w:rsidRPr="002C52A0">
              <w:trPr>
                <w:trHeight w:val="480"/>
                <w:jc w:val="center"/>
              </w:trPr>
              <w:tc>
                <w:tcPr>
                  <w:tcW w:w="8789" w:type="dxa"/>
                  <w:tcMar>
                    <w:top w:w="0" w:type="dxa"/>
                    <w:left w:w="108" w:type="dxa"/>
                    <w:bottom w:w="0" w:type="dxa"/>
                    <w:right w:w="108" w:type="dxa"/>
                  </w:tcMar>
                  <w:vAlign w:val="center"/>
                  <w:hideMark/>
                </w:tcPr>
                <w:p w:rsidR="002C52A0" w:rsidRPr="002C52A0" w:rsidRDefault="002C52A0" w:rsidP="002C52A0">
                  <w:pPr>
                    <w:spacing w:after="0" w:line="240" w:lineRule="atLeast"/>
                    <w:ind w:firstLine="566"/>
                    <w:jc w:val="both"/>
                    <w:rPr>
                      <w:rFonts w:eastAsia="Times New Roman" w:cs="Times New Roman"/>
                      <w:sz w:val="22"/>
                      <w:u w:val="single"/>
                      <w:lang w:eastAsia="tr-TR"/>
                    </w:rPr>
                  </w:pPr>
                  <w:r w:rsidRPr="002C52A0">
                    <w:rPr>
                      <w:rFonts w:eastAsia="Times New Roman" w:cs="Times New Roman"/>
                      <w:sz w:val="18"/>
                      <w:szCs w:val="18"/>
                      <w:u w:val="single"/>
                      <w:lang w:eastAsia="tr-TR"/>
                    </w:rPr>
                    <w:t>Gıda, Tarım ve Hayvancılık Bakanlığından:</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DOĞU ANADOLU, GÜNEYDOĞU ANADOLU, KONYA OVASI VE</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DOĞU KARADENİZ PROJELERİ KAPSAMINDAKİ İLLERDE</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HAYVANCILIK YATIRIMLARININ DESTEKLENMESİNE</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İLİŞKİN UYGULAMA ESASLARI TEBLİĞİ</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(TEBLİĞ NO: 2017/2)</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BİRİNCİ BÖLÜM</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Amaç, Kapsam, Dayanak ve Tanımlar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Amaç</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 – </w:t>
                  </w:r>
                  <w:r w:rsidRPr="002C52A0">
                    <w:rPr>
                      <w:rFonts w:eastAsia="Times New Roman" w:cs="Times New Roman"/>
                      <w:sz w:val="18"/>
                      <w:szCs w:val="18"/>
                      <w:lang w:eastAsia="tr-TR"/>
                    </w:rPr>
                    <w:t>(1) Bu Tebliğin amacı; Doğu Anadolu, Güneydoğu Anadolu, Konya Ovası ve Doğu Karadeniz Projeleri kapsamındaki illerde hayvancılık yatırımlarının desteklenmesine ilişkin usul ve esasları belirlemektir.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Kapsam</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2 – </w:t>
                  </w:r>
                  <w:r w:rsidRPr="002C52A0">
                    <w:rPr>
                      <w:rFonts w:eastAsia="Times New Roman" w:cs="Times New Roman"/>
                      <w:sz w:val="18"/>
                      <w:szCs w:val="18"/>
                      <w:lang w:eastAsia="tr-TR"/>
                    </w:rPr>
                    <w:t>(1) Bu Tebliğ, 2015-2018 yıllarında Doğu Anadolu, Güneydoğu Anadolu, Konya Ovası ve Doğu Karadeniz Projeleri Kapsamındaki illerde hayvancılık yatırımlarının desteklenmesi amacıyla yapılması gereken hususları kapsar.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Dayanak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3 – </w:t>
                  </w:r>
                  <w:r w:rsidRPr="002C52A0">
                    <w:rPr>
                      <w:rFonts w:eastAsia="Times New Roman" w:cs="Times New Roman"/>
                      <w:sz w:val="18"/>
                      <w:szCs w:val="18"/>
                      <w:lang w:eastAsia="tr-TR"/>
                    </w:rPr>
                    <w:t>(1) Bu Tebliğ; </w:t>
                  </w:r>
                  <w:proofErr w:type="gramStart"/>
                  <w:r w:rsidRPr="002C52A0">
                    <w:rPr>
                      <w:rFonts w:eastAsia="Times New Roman" w:cs="Times New Roman"/>
                      <w:sz w:val="18"/>
                      <w:szCs w:val="18"/>
                      <w:lang w:eastAsia="tr-TR"/>
                    </w:rPr>
                    <w:t>18/4/2006</w:t>
                  </w:r>
                  <w:proofErr w:type="gramEnd"/>
                  <w:r w:rsidRPr="002C52A0">
                    <w:rPr>
                      <w:rFonts w:eastAsia="Times New Roman" w:cs="Times New Roman"/>
                      <w:sz w:val="18"/>
                      <w:szCs w:val="18"/>
                      <w:lang w:eastAsia="tr-TR"/>
                    </w:rPr>
                    <w:t> tarihli ve 5488 sayılı Tarım Kanununa ve 7/9/2016 tarihli ve 2016/9142 sayılı Bakanlar Kurulu Kararı ve 17/10/2016 tarihli ve 2016/9592 sayılı Bakanlar Kurulu Kararı ile değişik 19/3/2014 tarihli ve 2014/6359 sayılı Bakanlar Kurulu Kararı eki Doğu Anadolu, Güneydoğu Anadolu, Konya Ovası ve Doğu Karadeniz Projeleri Kapsamındaki İllerde Hayvancılık Yatırımlarının Desteklenmesine İlişkin Karara dayanılarak hazırlanmıştır.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Tanımlar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4 – </w:t>
                  </w:r>
                  <w:r w:rsidRPr="002C52A0">
                    <w:rPr>
                      <w:rFonts w:eastAsia="Times New Roman" w:cs="Times New Roman"/>
                      <w:sz w:val="18"/>
                      <w:szCs w:val="18"/>
                      <w:lang w:eastAsia="tr-TR"/>
                    </w:rPr>
                    <w:t>(1) Bu Tebliğde geçen;</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Anaç koyun ve keçi: Müracaat tarihinde en az 12 aylık (360 gün) yaşta olan dişi koyun ve keçiyi,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Anaç sığır: Müracaat tarihi itibarıyla en az 15 aylık (450 gün) yaşta olan dişi sığırı,</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c) Aynı yatırım konusu: İnşaat yatırımında ahır veya ağıl yapımı veya bunların tadilatları aynı hibe konusu olarak değerlendirilecek yatırımları,</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ç) Bakanlık: Gıda, Tarım ve Hayvancılık Bakanlığını,</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d) Banka: T.C. Ziraat Bankası A.Ş. Genel Müdürlüğünü,</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e) Basit onarım: Ahır ve ağıl yapılarında derz, iç ve dış sıva, boya, badana, oluk, dere, doğrama, döşeme ve tavan kaplamaları, elektrik ve sıhhi tesisatla ilgili iyileştirmelerle çatı onarımı ve kiremit aktarılması işlemlerini,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f) Damızlık boğa: Teknik ve sağlık şartları Bakanlıkça belirlenen, tabii tohumlamada kullanılacak olan erkek büyükbaş hayvanı,</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g) Damızlık koç-teke: Teknik ve sağlık şartları Bakanlıkça belirlenen, tabii tohumlamada kullanılacak olan erkek küçükbaş hayvanı,</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ğ) Esaslı onarım: Ahır ve ağıl yapılarında taşıyıcı unsurları etkileyen veya brüt inşaat alanını değiştiren işlemler ile pencere tabanlarının indirilmesi, kapıya dönüştürülmesi, pencere ve kapılar gibi unsurların yerlerinin değiştirilmesi veya ölçülerinin değiştirilmesi gibi bina görünümüne etki eden işlemleri,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h) Genel Müdürlük: Hayvancılık Genel Müdürlüğünü,</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ı) Hak ediş: İl proje yürütme birimince hazırlanan ve ödemeye esas olacak raporu,</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i) Hak ediş icmali: İl proje yürütme birimince hazırlanarak il proje değerlendirme komisyonunca onaylanan ve il müdürlüğünce Genel Müdürlüğe gönderilen icmal cetvelini,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j) İl müdürlüğü: İl Gıda, Tarım ve Hayvancılık Müdürlüğünü,</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k) İlçe müdürlüğü: İlçe Gıda, Tarım ve Hayvancılık Müdürlüğünü,</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l) İşletme: Hayvanların barındırıldığı, tutulduğu, bakıldığı veya beslendiği kapalı, açık veya yarı açık sistem tesis durumundaki yerleri,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m) Karar: </w:t>
                  </w:r>
                  <w:proofErr w:type="gramStart"/>
                  <w:r w:rsidRPr="002C52A0">
                    <w:rPr>
                      <w:rFonts w:eastAsia="Times New Roman" w:cs="Times New Roman"/>
                      <w:sz w:val="18"/>
                      <w:szCs w:val="18"/>
                      <w:lang w:eastAsia="tr-TR"/>
                    </w:rPr>
                    <w:t>19/3/2014</w:t>
                  </w:r>
                  <w:proofErr w:type="gramEnd"/>
                  <w:r w:rsidRPr="002C52A0">
                    <w:rPr>
                      <w:rFonts w:eastAsia="Times New Roman" w:cs="Times New Roman"/>
                      <w:sz w:val="18"/>
                      <w:szCs w:val="18"/>
                      <w:lang w:eastAsia="tr-TR"/>
                    </w:rPr>
                    <w:t> tarihli ve 2014/6359 sayılı Bakanlar Kurulu Kararı ile yürürlüğe konulan, Doğu Anadolu, Güneydoğu Anadolu, Konya Ovası ve Doğu Karadeniz Projeleri Kapsamındaki İllerde Hayvancılık Yatırımlarının Desteklenmesine İlişkin Kararı,</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n) Ön proje: Yapılacak yatırımı kısaca tanıtan ve tadilat yapılacak veya yeniden kurulacak işletmenin ihtiyaçlarını tanımlayan iş ve </w:t>
                  </w:r>
                  <w:proofErr w:type="spellStart"/>
                  <w:r w:rsidRPr="002C52A0">
                    <w:rPr>
                      <w:rFonts w:eastAsia="Times New Roman" w:cs="Times New Roman"/>
                      <w:sz w:val="18"/>
                      <w:szCs w:val="18"/>
                      <w:lang w:eastAsia="tr-TR"/>
                    </w:rPr>
                    <w:t>termin</w:t>
                  </w:r>
                  <w:proofErr w:type="spellEnd"/>
                  <w:r w:rsidRPr="002C52A0">
                    <w:rPr>
                      <w:rFonts w:eastAsia="Times New Roman" w:cs="Times New Roman"/>
                      <w:sz w:val="18"/>
                      <w:szCs w:val="18"/>
                      <w:lang w:eastAsia="tr-TR"/>
                    </w:rPr>
                    <w:t> planlarının yanında yerleşimi gösteren yerleşim planı ve kayıt sistemlerinden alınacak hayvan varlığını gösterir projeyi,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o) Taahhütname: Proje sahipleri ile il müdürlüğü arasında imzalanan ve hibeden yararlanma esasları ile yararlanıcının sorumluluklarını düzenleyen taahhütnameyi,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ö) TİGEM: Tarım İşletmeleri Genel Müdürlüğünü,</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p) Uygulama rehberi: Başvuru formlarının, yatırım projelerinde aranacak idari ve teknik detayların, izleme ve değerlendirme rapor örneklerinin, konu ile ilgili uygulama birimlerince tutulacak cetvellerin içinde yer aldığı Genel Müdürlükçe yayınlanacak olan rehberi,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lastRenderedPageBreak/>
                    <w:t>r) Yatırımcı: Bu Tebliğ kapsamında yatırımı gerçekleştirmek üzere proje hazırlayıp başvuruda bulunan ve başvurusu kabul edilen gerçek ve tüzel kişileri,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s)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ş) Yüklenici: Yatırımcılar tarafından hibe desteği ile satın alınacak damızlıkları sağlayan bağımsız gerçek ve tüzel kişi ve kuruluşları,</w:t>
                  </w:r>
                </w:p>
                <w:p w:rsidR="002C52A0" w:rsidRPr="002C52A0" w:rsidRDefault="002C52A0" w:rsidP="002C52A0">
                  <w:pPr>
                    <w:spacing w:after="0" w:line="240" w:lineRule="atLeast"/>
                    <w:ind w:firstLine="566"/>
                    <w:jc w:val="both"/>
                    <w:rPr>
                      <w:rFonts w:eastAsia="Times New Roman" w:cs="Times New Roman"/>
                      <w:sz w:val="19"/>
                      <w:szCs w:val="19"/>
                      <w:lang w:eastAsia="tr-TR"/>
                    </w:rPr>
                  </w:pPr>
                  <w:proofErr w:type="gramStart"/>
                  <w:r w:rsidRPr="002C52A0">
                    <w:rPr>
                      <w:rFonts w:eastAsia="Times New Roman" w:cs="Times New Roman"/>
                      <w:sz w:val="18"/>
                      <w:szCs w:val="18"/>
                      <w:lang w:eastAsia="tr-TR"/>
                    </w:rPr>
                    <w:t>ifade</w:t>
                  </w:r>
                  <w:proofErr w:type="gramEnd"/>
                  <w:r w:rsidRPr="002C52A0">
                    <w:rPr>
                      <w:rFonts w:eastAsia="Times New Roman" w:cs="Times New Roman"/>
                      <w:sz w:val="18"/>
                      <w:szCs w:val="18"/>
                      <w:lang w:eastAsia="tr-TR"/>
                    </w:rPr>
                    <w:t> eder.</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İKİNCİ BÖLÜM</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Uygulama Birimleri ve Görevleri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Uygulama birimleri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5 – </w:t>
                  </w:r>
                  <w:r w:rsidRPr="002C52A0">
                    <w:rPr>
                      <w:rFonts w:eastAsia="Times New Roman" w:cs="Times New Roman"/>
                      <w:sz w:val="18"/>
                      <w:szCs w:val="18"/>
                      <w:lang w:eastAsia="tr-TR"/>
                    </w:rPr>
                    <w:t>(1) Bu Tebliğ kapsamındaki iş ve işlemlerin yürütülmesinde görev alacak olan uygulama birimleri şunlardır: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İl proje yürütme birimi.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İl müdürlüğü.</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c) İl proje değerlendirme komisyonu.</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ç) Merkez proje değerlendirme komisyonu.</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İl proje yürütme biriminin oluşturulmasına ilişkin usul ve esaslar şunlardır:</w:t>
                  </w:r>
                </w:p>
                <w:p w:rsidR="002C52A0" w:rsidRPr="002C52A0" w:rsidRDefault="002C52A0" w:rsidP="002C52A0">
                  <w:pPr>
                    <w:spacing w:after="0" w:line="240" w:lineRule="atLeast"/>
                    <w:ind w:firstLine="566"/>
                    <w:jc w:val="both"/>
                    <w:rPr>
                      <w:rFonts w:eastAsia="Times New Roman" w:cs="Times New Roman"/>
                      <w:sz w:val="19"/>
                      <w:szCs w:val="19"/>
                      <w:lang w:eastAsia="tr-TR"/>
                    </w:rPr>
                  </w:pPr>
                  <w:proofErr w:type="gramStart"/>
                  <w:r w:rsidRPr="002C52A0">
                    <w:rPr>
                      <w:rFonts w:eastAsia="Times New Roman" w:cs="Times New Roman"/>
                      <w:sz w:val="18"/>
                      <w:szCs w:val="18"/>
                      <w:lang w:eastAsia="tr-TR"/>
                    </w:rPr>
                    <w:t>a) Valilik oluru ile il müdürlüğü bünyesinde; 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oluşan il proje yürütme birimi kurulur. </w:t>
                  </w:r>
                  <w:proofErr w:type="gramEnd"/>
                  <w:r w:rsidRPr="002C52A0">
                    <w:rPr>
                      <w:rFonts w:eastAsia="Times New Roman" w:cs="Times New Roman"/>
                      <w:sz w:val="18"/>
                      <w:szCs w:val="18"/>
                      <w:lang w:eastAsia="tr-TR"/>
                    </w:rPr>
                    <w:t>Asıl üyelerin görevlerini yerine getiremeyecekleri hallerde bunların yerine, valilik olurunda belirlenen sıraya göre yedek üyeler görev alır.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Yatırımın gerçekleştirileceği yerin tespitinin yapılması amacıyla il kadastro müdürlüğü veya il müdürlüğünden konu uzmanı bir teknik eleman, inşaat </w:t>
                  </w:r>
                  <w:proofErr w:type="spellStart"/>
                  <w:r w:rsidRPr="002C52A0">
                    <w:rPr>
                      <w:rFonts w:eastAsia="Times New Roman" w:cs="Times New Roman"/>
                      <w:sz w:val="18"/>
                      <w:szCs w:val="18"/>
                      <w:lang w:eastAsia="tr-TR"/>
                    </w:rPr>
                    <w:t>hakedişlerinin</w:t>
                  </w:r>
                  <w:proofErr w:type="spellEnd"/>
                  <w:r w:rsidRPr="002C52A0">
                    <w:rPr>
                      <w:rFonts w:eastAsia="Times New Roman" w:cs="Times New Roman"/>
                      <w:sz w:val="18"/>
                      <w:szCs w:val="18"/>
                      <w:lang w:eastAsia="tr-TR"/>
                    </w:rPr>
                    <w:t> düzenlenmesi amacıyla da il çevre ve şehircilik müdürlüğü, büyükşehir belediyeleri, il özel idareleri veya il müdürlüğünden bir teknik eleman bu birim içerisinde görevlendirilir.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(3) İl proje değerlendirme komisyonunun oluşturulmasına ilişkin usul ve esaslar şunlardır: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Valilik oluru ile Vali yardımcısı başkanlığında; il gıda, tarım ve hayvancılık müdürü, hayvan sağlığı, yetiştiriciliği ve su ürünleri,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(4) Merkez proje değerlendirme komisyonunun oluşturulmasına ilişkin usul ve esaslar şunlardır: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Bakan oluru ile genel müdür veya genel müdür yardımcısı başkanlığında; genel müdür yardımcısı, ilgili daire başkanı ve konu uzmanı teknik elemanlar ile birlikte en az beş üyenin katılımı ile merkez proje değerlendirme komisyonu kurulur. Komisyon başkanının bulunmaması durumunda komisyona ilgili genel müdür yardımcısı veya daire başkanı başkanlık eder.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Komisyon, gündem oluşması durumunda ilgili dairenin teklifi üzerine toplam üye sayısının salt çoğunluğuyla toplanır ve kararlar oy çokluğuyla alınır. Oyların eşitliğinde komisyon başkanının oyu yönünde karar alınmış sayılır.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Uygulama birimlerinin görevleri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6 – </w:t>
                  </w:r>
                  <w:r w:rsidRPr="002C52A0">
                    <w:rPr>
                      <w:rFonts w:eastAsia="Times New Roman" w:cs="Times New Roman"/>
                      <w:sz w:val="18"/>
                      <w:szCs w:val="18"/>
                      <w:lang w:eastAsia="tr-TR"/>
                    </w:rPr>
                    <w:t>(1) İl proje yürütme biriminin görevleri aşağıda belirtilmiştir: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İl düzeyinde proje hazırlanması aşamasında başvuru sahiplerini yatırım konuları ve destekleri hakkında bilgilendirmek.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c) Yatırımların uygulamasını kontrol etmek, izlemek ve değerlendirmek.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ç) Onaylanan inşaat projelerinde, proje tamamlandığında; onaylanan hayvan alımı başvurularında ise hayvan alımı gerçekleştikten ve hayvanlar işletmeye getirildikten sonra uygulama rehberindeki </w:t>
                  </w:r>
                  <w:proofErr w:type="gramStart"/>
                  <w:r w:rsidRPr="002C52A0">
                    <w:rPr>
                      <w:rFonts w:eastAsia="Times New Roman" w:cs="Times New Roman"/>
                      <w:sz w:val="18"/>
                      <w:szCs w:val="18"/>
                      <w:lang w:eastAsia="tr-TR"/>
                    </w:rPr>
                    <w:t>kriterlere</w:t>
                  </w:r>
                  <w:proofErr w:type="gramEnd"/>
                  <w:r w:rsidRPr="002C52A0">
                    <w:rPr>
                      <w:rFonts w:eastAsia="Times New Roman" w:cs="Times New Roman"/>
                      <w:sz w:val="18"/>
                      <w:szCs w:val="18"/>
                      <w:lang w:eastAsia="tr-TR"/>
                    </w:rPr>
                    <w:t> göre hak ediş düzenleyerek il proje değerlendirme komisyonunun onayına sunmak.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İl proje değerlendirme komisyonunun görevleri aşağıda belirtilmiştir: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Yatırımların desteklenmesi kapsamında il proje yürütme birimi tarafından hazırlanan raporları, uygulama rehberindeki </w:t>
                  </w:r>
                  <w:proofErr w:type="gramStart"/>
                  <w:r w:rsidRPr="002C52A0">
                    <w:rPr>
                      <w:rFonts w:eastAsia="Times New Roman" w:cs="Times New Roman"/>
                      <w:sz w:val="18"/>
                      <w:szCs w:val="18"/>
                      <w:lang w:eastAsia="tr-TR"/>
                    </w:rPr>
                    <w:t>kriterlere</w:t>
                  </w:r>
                  <w:proofErr w:type="gramEnd"/>
                  <w:r w:rsidRPr="002C52A0">
                    <w:rPr>
                      <w:rFonts w:eastAsia="Times New Roman" w:cs="Times New Roman"/>
                      <w:sz w:val="18"/>
                      <w:szCs w:val="18"/>
                      <w:lang w:eastAsia="tr-TR"/>
                    </w:rPr>
                    <w:t xml:space="preserve"> göre incelemek, değerlendirmek, yatırıma uygun bulunan listeleri onaylayarak sonuç tablolarını </w:t>
                  </w:r>
                  <w:r w:rsidRPr="002C52A0">
                    <w:rPr>
                      <w:rFonts w:eastAsia="Times New Roman" w:cs="Times New Roman"/>
                      <w:sz w:val="18"/>
                      <w:szCs w:val="18"/>
                      <w:lang w:eastAsia="tr-TR"/>
                    </w:rPr>
                    <w:lastRenderedPageBreak/>
                    <w:t>hazırlamak ve bunları Genel Müdürlüğe sunulmak üzere İl müdürlüğüne göndermek.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İl proje yürütme biriminin düzenli ve etkin çalışması için her türlü idari ve teknik desteği sağlamak.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c) Ödemeye uygun bulduğu hak edişler için uygulama rehberinde yer alan ödeme icmal cetvelini düzenleyerek onaylamak ve Genel Müdürlüğe göndermek.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(3) İl müdürlüğünün görevleri aşağıda belirtilmiştir: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Yatırımların desteklenmesinin, idari, mali, çevresel uygulamalar ve mühendislik uygulamalarıyla uyumlu bir şekilde yürütülmesi ile Karar, bu Tebliğ ve uygulama rehberi kapsamında yapılacak tüm çalışmaların il bazında tanıtılmasını, uygulatılmasını, sekretaryasını ve koordinasyonunu sağlamak.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İl proje değerlendirme komisyonu tarafından yatırıma uygun bulunan uygulama projelerini teknik gereklilikler bakımından incelemek, onaylamak ve onaylanan projeler ile </w:t>
                  </w:r>
                  <w:proofErr w:type="spellStart"/>
                  <w:r w:rsidRPr="002C52A0">
                    <w:rPr>
                      <w:rFonts w:eastAsia="Times New Roman" w:cs="Times New Roman"/>
                      <w:sz w:val="18"/>
                      <w:szCs w:val="18"/>
                      <w:lang w:eastAsia="tr-TR"/>
                    </w:rPr>
                    <w:t>hakedişleri</w:t>
                  </w:r>
                  <w:proofErr w:type="spellEnd"/>
                  <w:r w:rsidRPr="002C52A0">
                    <w:rPr>
                      <w:rFonts w:eastAsia="Times New Roman" w:cs="Times New Roman"/>
                      <w:sz w:val="18"/>
                      <w:szCs w:val="18"/>
                      <w:lang w:eastAsia="tr-TR"/>
                    </w:rPr>
                    <w:t> Genel Müdürlüğe göndermek.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(4) Merkez proje değerlendirme komisyonunun görevleri aşağıda belirtilmiştir: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Yatırımların desteklenmesi kapsamında yürütülecek faaliyetlerin kontrolü ile bu faaliyetlerin idari, mali, çevresel uygulamalar ve mühendislik uygulamalarıyla uyumlu bir şekilde yürütülmesine destek vermek.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asil ve yedek olarak listelemek ve bunları ilgili il müdürlüğüne göndermek.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c) Uygulama rehberi ve talimatları hazırlayarak Genel Müdürlük onayı sonrasında illere gönderilmesini, ilgili personele eğitim verilmesini, il ve bölgede Kararın öngördüğü tanıtımların yapılmasını sağlamak.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ç) Hibeye esas yatırım konularına ait tutarların üst sınırlarını belirlemek.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d) İl müdürlüklerinde bu Tebliğin uygulanması ile ilgili olarak ortaya çıkan sorunların çözümünde etkin rol almak.</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ÜÇÜNCÜ BÖLÜM</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Yatırımlara Yönelik Destekleme Uygulama Esasları</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Yatırım konuları, hibe oranları ve uygulama illeri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7 – </w:t>
                  </w:r>
                  <w:r w:rsidRPr="002C52A0">
                    <w:rPr>
                      <w:rFonts w:eastAsia="Times New Roman" w:cs="Times New Roman"/>
                      <w:sz w:val="18"/>
                      <w:szCs w:val="18"/>
                      <w:lang w:eastAsia="tr-TR"/>
                    </w:rPr>
                    <w:t>(1) Bu Tebliğ kapsamında damızlık sığır ve koyun-keçi işletme yatırımlarına aşağıda belirtilen konular ve oranlarda hibe desteği uygulanır: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Projede yer alan inşaat yatırımı konusunda, yatırımın merkez proje değerlendirme komisyonunca belirlenen üst sınır </w:t>
                  </w:r>
                  <w:proofErr w:type="gramStart"/>
                  <w:r w:rsidRPr="002C52A0">
                    <w:rPr>
                      <w:rFonts w:eastAsia="Times New Roman" w:cs="Times New Roman"/>
                      <w:sz w:val="18"/>
                      <w:szCs w:val="18"/>
                      <w:lang w:eastAsia="tr-TR"/>
                    </w:rPr>
                    <w:t>dahilinde</w:t>
                  </w:r>
                  <w:proofErr w:type="gramEnd"/>
                  <w:r w:rsidRPr="002C52A0">
                    <w:rPr>
                      <w:rFonts w:eastAsia="Times New Roman" w:cs="Times New Roman"/>
                      <w:sz w:val="18"/>
                      <w:szCs w:val="18"/>
                      <w:lang w:eastAsia="tr-TR"/>
                    </w:rPr>
                    <w:t> gerçekleşme tutarının % 50’si oranında hibe desteği uygulanır ve bu destekleme ahır-ağıl tadilatı veya yeni yapılacak kapalı, yarı açık ve açık sistemli ahır ve ağılları kapsar.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Projede yer alan damızlık erkek hayvan alımı yatırımı konusunda, merkez proje değerlendirme komisyonunca belirlenen üst sınır </w:t>
                  </w:r>
                  <w:proofErr w:type="gramStart"/>
                  <w:r w:rsidRPr="002C52A0">
                    <w:rPr>
                      <w:rFonts w:eastAsia="Times New Roman" w:cs="Times New Roman"/>
                      <w:sz w:val="18"/>
                      <w:szCs w:val="18"/>
                      <w:lang w:eastAsia="tr-TR"/>
                    </w:rPr>
                    <w:t>dahilinde</w:t>
                  </w:r>
                  <w:proofErr w:type="gramEnd"/>
                  <w:r w:rsidRPr="002C52A0">
                    <w:rPr>
                      <w:rFonts w:eastAsia="Times New Roman" w:cs="Times New Roman"/>
                      <w:sz w:val="18"/>
                      <w:szCs w:val="18"/>
                      <w:lang w:eastAsia="tr-TR"/>
                    </w:rPr>
                    <w:t> hayvan alım tutarının % 80’i oranında hibe desteği uygulanır ve bu destekleme damızlık boğa, damızlık koç-teke alımını kapsar.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c) İnşaat yatırımı ile damızlık koç-teke alımı yatırım konusu Doğu Anadolu Projesi (DAP), Güney Doğu Anadolu Projesi (GAP), Konya Ovası Projesi (KOP) ve Doğu Karadeniz Projesi (DOKAP) kapsamındaki illerde uygulanır.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ç) Damızlık boğa alımı yatırım konusu Doğu Anadolu Projesi (DAP), Güney Doğu Anadolu Projesi (GAP) ile Doğu Karadeniz Projesi (DOKAP) kapsamındaki illerde uygulanır.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Yatırım süresi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8 – </w:t>
                  </w:r>
                  <w:r w:rsidRPr="002C52A0">
                    <w:rPr>
                      <w:rFonts w:eastAsia="Times New Roman" w:cs="Times New Roman"/>
                      <w:sz w:val="18"/>
                      <w:szCs w:val="18"/>
                      <w:lang w:eastAsia="tr-TR"/>
                    </w:rPr>
                    <w:t>(1) Bu Tebliğ kapsamında uygulanacak hibe desteğinden, projesi onaylanan ve projesinde belirtilen süre içinde yatırımı  tamamlanan işletmeler yararlanır. İnşaat işleri ile damızlık boğa, koç ve tekelerin satın alınarak işletmeye konulması, başvurunun onaylanıp yatırımcıya tebliğ edildiği tarihten itibaren bir yıl içerisinde tamamlanır. Yatırımın belirlenen sürede tamamlanamaması  halinde il proje değerlendirme komisyonunun görüşü doğrultusunda merkez proje değerlendirme komisyonunca yatırımcıya, toplam 6 (altı) ayı geçmemek üzere ek süre verilebilir.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w:t>
                  </w:r>
                  <w:proofErr w:type="spellStart"/>
                  <w:r w:rsidRPr="002C52A0">
                    <w:rPr>
                      <w:rFonts w:eastAsia="Times New Roman" w:cs="Times New Roman"/>
                      <w:sz w:val="18"/>
                      <w:szCs w:val="18"/>
                      <w:lang w:eastAsia="tr-TR"/>
                    </w:rPr>
                    <w:t>Termin</w:t>
                  </w:r>
                  <w:proofErr w:type="spellEnd"/>
                  <w:r w:rsidRPr="002C52A0">
                    <w:rPr>
                      <w:rFonts w:eastAsia="Times New Roman" w:cs="Times New Roman"/>
                      <w:sz w:val="18"/>
                      <w:szCs w:val="18"/>
                      <w:lang w:eastAsia="tr-TR"/>
                    </w:rPr>
                    <w:t> planına göre yükümlülüklerini yerine getirmeyen veya yatırım yapmaktan vazgeçen yatırımcının projesi iptal edilir ve bu yatırımcılar hibe desteğinden yararlandırılmaz.</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Desteklemeden yararlanacaklar</w:t>
                  </w:r>
                </w:p>
                <w:p w:rsidR="002C52A0" w:rsidRPr="002C52A0" w:rsidRDefault="002C52A0" w:rsidP="002C52A0">
                  <w:pPr>
                    <w:spacing w:after="0" w:line="240" w:lineRule="atLeast"/>
                    <w:ind w:firstLine="566"/>
                    <w:jc w:val="both"/>
                    <w:rPr>
                      <w:rFonts w:eastAsia="Times New Roman" w:cs="Times New Roman"/>
                      <w:sz w:val="19"/>
                      <w:szCs w:val="19"/>
                      <w:lang w:eastAsia="tr-TR"/>
                    </w:rPr>
                  </w:pPr>
                  <w:proofErr w:type="gramStart"/>
                  <w:r w:rsidRPr="002C52A0">
                    <w:rPr>
                      <w:rFonts w:eastAsia="Times New Roman" w:cs="Times New Roman"/>
                      <w:b/>
                      <w:bCs/>
                      <w:sz w:val="18"/>
                      <w:szCs w:val="18"/>
                      <w:lang w:eastAsia="tr-TR"/>
                    </w:rPr>
                    <w:t>MADDE 9 – </w:t>
                  </w:r>
                  <w:r w:rsidRPr="002C52A0">
                    <w:rPr>
                      <w:rFonts w:eastAsia="Times New Roman" w:cs="Times New Roman"/>
                      <w:sz w:val="18"/>
                      <w:szCs w:val="18"/>
                      <w:lang w:eastAsia="tr-TR"/>
                    </w:rPr>
                    <w:t>(1) Bu Tebliğ kapsamındaki hibe desteklemesinden; Bakanlık </w:t>
                  </w:r>
                  <w:proofErr w:type="spellStart"/>
                  <w:r w:rsidRPr="002C52A0">
                    <w:rPr>
                      <w:rFonts w:eastAsia="Times New Roman" w:cs="Times New Roman"/>
                      <w:sz w:val="18"/>
                      <w:szCs w:val="18"/>
                      <w:lang w:eastAsia="tr-TR"/>
                    </w:rPr>
                    <w:t>Türkvet</w:t>
                  </w:r>
                  <w:proofErr w:type="spellEnd"/>
                  <w:r w:rsidRPr="002C52A0">
                    <w:rPr>
                      <w:rFonts w:eastAsia="Times New Roman" w:cs="Times New Roman"/>
                      <w:sz w:val="18"/>
                      <w:szCs w:val="18"/>
                      <w:lang w:eastAsia="tr-TR"/>
                    </w:rPr>
                    <w:t> veri tabanına ve Koyun Keçi Kayıt Sistemine kayıtlı  en az 10 en fazla 49 baş anaç sığır veya en az 100 en fazla 200 baş anaç koyun-keçi kapasiteli ve başvuru tarihinden en az 1 yıl önce bu sistemlerde kayıt altına alınmış aktif işletmesi olan gerçek ve tüzel kişiler yararlanır.</w:t>
                  </w:r>
                  <w:proofErr w:type="gramEnd"/>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Ancak Bakanlık bölgesel farklılıkları dikkate almak kaydıyla bu şartlarda değişiklik yapabilir.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Yatırım konuları hakkında genel esaslar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10 – </w:t>
                  </w:r>
                  <w:r w:rsidRPr="002C52A0">
                    <w:rPr>
                      <w:rFonts w:eastAsia="Times New Roman" w:cs="Times New Roman"/>
                      <w:sz w:val="18"/>
                      <w:szCs w:val="18"/>
                      <w:lang w:eastAsia="tr-TR"/>
                    </w:rPr>
                    <w:t>(1) Bu Tebliğ kapsamındaki esaslar çerçevesinde başvurusu onaylanarak yeni inşaat yapımı, tadilatı, damızlık boğa alımı ve damızlık koç-teke alımını gerçekleştiren yatırımcılara destekleme ödemesi yapılır.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Yatırımcı, uygulanacak her bir hibe destek konusundan bir kez yararlandırılır.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 xml:space="preserve">(3) Yatırım tutarı  üst sınırı,  her yılın başında bütçe imkânları dikkate alınarak merkez proje değerlendirme komisyonunca belirlenip Genel Müdürlük tarafından il müdürlüklerine bildirilir. Merkez proje değerlendirme </w:t>
                  </w:r>
                  <w:r w:rsidRPr="002C52A0">
                    <w:rPr>
                      <w:rFonts w:eastAsia="Times New Roman" w:cs="Times New Roman"/>
                      <w:sz w:val="18"/>
                      <w:szCs w:val="18"/>
                      <w:lang w:eastAsia="tr-TR"/>
                    </w:rPr>
                    <w:lastRenderedPageBreak/>
                    <w:t>komisyonu, gerek duyduğunda belirlenen üst sınırı aynı yıl içerisinde değiştirebilir. Değişiklik kararı da aynı usulle il müdürlüklerine bildirilir.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(4) Onaylanan yatırım proje tutarının, belirlenen üst sınırı aşan kısmı, aynî katkı olarak yatırımcı tarafından karşılanır.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(5) Her bir yatırımcı, inşaat ve hayvan alımı yatırım konuları için birlikte ya da ayrı  ayrı  sadece bir defa hibe desteğinden yararlanabilir. Projeden şirket ortağı olarak yararlanan yatırımcı, şirket ortaklığından ayrılsa dahi aynı konudaki yatırımdan bir daha yararlanamaz.</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(6) Yatırımcılar, kredi ve vergi teşviklerinden yararlanabilirler.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(7) İnşaat yatırımları hakkında uygulanacak genel esaslar şunlardır: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Yatırımcı, proje gereğince yapacağı yapı  ve tesislerle ilgili her türlü izinleri yetkili mercilerden almak ve yürürlükteki mevzuat hükümlerine uymak zorundadır. İnşaat izni ve yapı kullanım ruhsatının alınması süreci, </w:t>
                  </w:r>
                  <w:proofErr w:type="spellStart"/>
                  <w:r w:rsidRPr="002C52A0">
                    <w:rPr>
                      <w:rFonts w:eastAsia="Times New Roman" w:cs="Times New Roman"/>
                      <w:sz w:val="18"/>
                      <w:szCs w:val="18"/>
                      <w:lang w:eastAsia="tr-TR"/>
                    </w:rPr>
                    <w:t>terminplanında</w:t>
                  </w:r>
                  <w:proofErr w:type="spellEnd"/>
                  <w:r w:rsidRPr="002C52A0">
                    <w:rPr>
                      <w:rFonts w:eastAsia="Times New Roman" w:cs="Times New Roman"/>
                      <w:sz w:val="18"/>
                      <w:szCs w:val="18"/>
                      <w:lang w:eastAsia="tr-TR"/>
                    </w:rPr>
                    <w:t xml:space="preserve"> belirtilenden daha uzun sürecekse, ilgili birimlerden olumlu görüş ve yatırımcıdan taahhütname alınmak koşulu ile ilgili yatırımcılar bu bent kapsamı dışında tutulur.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Yeni yapılacak ahırlar, DAP ve DOKAP bölgelerinde kapalı veya yarı açık sistem, GAP ve KOP bölgesinde ise açık veya yarı açık sistem olacaktır. Ağıllarda ise ağıl tipi seçimi hususunda il müdürlükleri yetkilidir.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c) İnşaat gider kalemleri; kapasiteye uygun yeni ahır/ağıl, gübre çukuru ve </w:t>
                  </w:r>
                  <w:proofErr w:type="gramStart"/>
                  <w:r w:rsidRPr="002C52A0">
                    <w:rPr>
                      <w:rFonts w:eastAsia="Times New Roman" w:cs="Times New Roman"/>
                      <w:sz w:val="18"/>
                      <w:szCs w:val="18"/>
                      <w:lang w:eastAsia="tr-TR"/>
                    </w:rPr>
                    <w:t>ekipmanları</w:t>
                  </w:r>
                  <w:proofErr w:type="gramEnd"/>
                  <w:r w:rsidRPr="002C52A0">
                    <w:rPr>
                      <w:rFonts w:eastAsia="Times New Roman" w:cs="Times New Roman"/>
                      <w:sz w:val="18"/>
                      <w:szCs w:val="18"/>
                      <w:lang w:eastAsia="tr-TR"/>
                    </w:rPr>
                    <w:t xml:space="preserve">, yem deposu, silaj çukuru, süt sağım odası, soğutma sistem odası ve küçükbaş yıkama ünitesi inşaatları veya bunlardan herhangi birini ve/veya </w:t>
                  </w:r>
                  <w:bookmarkStart w:id="0" w:name="_GoBack"/>
                  <w:r w:rsidRPr="002C52A0">
                    <w:rPr>
                      <w:rFonts w:eastAsia="Times New Roman" w:cs="Times New Roman"/>
                      <w:sz w:val="18"/>
                      <w:szCs w:val="18"/>
                      <w:lang w:eastAsia="tr-TR"/>
                    </w:rPr>
                    <w:t>esaslı</w:t>
                  </w:r>
                  <w:bookmarkEnd w:id="0"/>
                  <w:r w:rsidRPr="002C52A0">
                    <w:rPr>
                      <w:rFonts w:eastAsia="Times New Roman" w:cs="Times New Roman"/>
                      <w:sz w:val="18"/>
                      <w:szCs w:val="18"/>
                      <w:lang w:eastAsia="tr-TR"/>
                    </w:rPr>
                    <w:t xml:space="preserve"> onarım inşaatlarını kapsar.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ç) İdari binalar, bakıcı evi, bekçi kulübesi, buzağı kulübesi, basit onarım, arazi düzeltme ve çevre yapıları, destekleme kapsamında değerlendirilmez.</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d) İnşaat yatırımları için yapılacak hibe desteği ödemelerinde, Çevre ve Şehircilik Bakanlığınca merkez proje değerlendirme komisyonu tarafından projenin onaylandığı yılda yayınlanan “İnşaat ve Tesisat Analiz ve Birim Fiyatları” üzerinden poz numaralarına göre hazırlanan maliyet cetvelleri kullanılır.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(8) Damızlık boğalar ile koç ve tekeler hakkında uygulanacak genel esaslar şunlardır: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Damızlık erkek hayvan alımı yatırımı konusunda, büyükbaş işletmeleri 1 (bir) baş damızlık boğa, küçükbaş işletmeleri ise mevcut anaç koyun-keçi sayısının % 5’ini aşmayacak miktarda damızlık koç-teke alımı için uygulanacak hibe desteklemesinden faydalandırılır.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Damızlık boğalar ile koç ve tekeler, Bakanlıkça belirlenen teknik şartları ve sağlık şartlarını taşır. Desteğe konu damızlık boğa ve koç-teke ırkları Bakanlıkça belirlenir.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c) Damızlık boğalar Bakanlık, TİGEM veya hastalıktan ari işletmelerden temin edilir. TİGEM, projeden yararlanacak işletmeler için damızlık boğalar ile koç ve tekeleri gerek kendi yetiştirdiklerinden gerekse yurt içi ve yurt dışından temin eder.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ç) Damızlık koç ve tekeler TİGEM ve/veya halk elinde ıslah projesi kapsamında olan işletmelerden bireysel olarak veya yatırımcıların bağlı  bulundukları  Damızlık Koyun Keçi Yetiştiricileri Birliği vasıtası ile temin edilir.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d) Düzenlenecek fatura, müstahsil makbuzu veya eşdeğer alım satım belgesindeki tutarın Bakanlıkça belirlenen fiyatlardan fazla olması halinde, fazla olan kısım yatırımcı tarafından karşılanır.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e) Hibe kapsamında satın alınacak erkek materyalin seçimi, il müdürlüğünce görevlendirilen bir ziraat mühendisi (</w:t>
                  </w:r>
                  <w:proofErr w:type="spellStart"/>
                  <w:r w:rsidRPr="002C52A0">
                    <w:rPr>
                      <w:rFonts w:eastAsia="Times New Roman" w:cs="Times New Roman"/>
                      <w:sz w:val="18"/>
                      <w:szCs w:val="18"/>
                      <w:lang w:eastAsia="tr-TR"/>
                    </w:rPr>
                    <w:t>zooteknist</w:t>
                  </w:r>
                  <w:proofErr w:type="spellEnd"/>
                  <w:r w:rsidRPr="002C52A0">
                    <w:rPr>
                      <w:rFonts w:eastAsia="Times New Roman" w:cs="Times New Roman"/>
                      <w:sz w:val="18"/>
                      <w:szCs w:val="18"/>
                      <w:lang w:eastAsia="tr-TR"/>
                    </w:rPr>
                    <w:t>) ve bir veteriner hekimden oluşan seçim heyetince Bakanlıkça belirlenen teknik şartlar ve sağlık şartları doğrultusunda yapılır.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f) Hibe kapsamında satın alınan damızlık erkek materyalin  iki  yıl süre ile satılmayacağına, ahır/ağıl yapımı hibelerinde ise işletmenin 3 yıl boyunca aktif olacağına dair yatırımcıdan taahhütname alınır. Taahhütname, il müdürlüğü ile yatırımcı arasında imzalanır.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g) Anne ve baba ile çocuklar, eşler ve kardeşler arasında yapılan alım ve satımlar destekleme kapsamı dışındadır.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ğ) Damızlık boğa ve koç-teke alımlarında desteklemeye esas birim fiyatları her yıl Bakanlıkça belirlenir. Bakanlık gerek duyduğunda belirlenen rakamları yıl içerisinde değiştirebilir.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(9) Yatırım tamamlanana kadar oluşabilecek sorunlardan yatırımcı sorumludur.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Başvuru yeri, zamanı ve istenecek belgeler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11 – </w:t>
                  </w:r>
                  <w:r w:rsidRPr="002C52A0">
                    <w:rPr>
                      <w:rFonts w:eastAsia="Times New Roman" w:cs="Times New Roman"/>
                      <w:sz w:val="18"/>
                      <w:szCs w:val="18"/>
                      <w:lang w:eastAsia="tr-TR"/>
                    </w:rPr>
                    <w:t>(1) Bu Tebliğ kapsamında yatırım yapmak isteyenlerin başvurularında uyacakları usul ve esaslar şunlardır: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a) İnşaat yatırımı  yapmak isteyen yatırımcılar, yatırımı  yapacağı  yerdeki il müdürlüğüne; damızlık boğa ve koç-teke alımı  hibe desteğinden yararlanmak isteyen yatırımcılar il/ilçe müdürlüklerine, her iki yatırımı da yapmak isteyen yatırımcılar ise il müdürlüğüne başvurur.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b) Başvurular her yıl Ocak-Şubat-Mart aylarında alınır. Genel Müdürlük gerekli gördüğü takdirde merkez proje değerlendirme komisyonu kararı ve Bakan onayı ile başvuru süresini uzatabilir, kısaltabilir ya da yıl içerisinde yeniden başvuru çağrısı yapabilir.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Başvurular, yılı için geçerli olup, yatırıma alınamadığı takdirde sonraki yıllar için yeniden başvuru yapılması gerekir.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lastRenderedPageBreak/>
                    <w:t>(3) Yatırımcı ile il müdürlüğü arasında, yatırımcının aynı yatırım konusunda Bakanlık veya diğer kamu kurum ve kuruluşlarınca uygulanan faiz indirimi veya hibe desteği programlarından yararlanmadığına, yararlanmış ise Karar kapsamındaki hibe desteğinin iptal edileceğini kabul ettiğine dair taahhütname imzalanır.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(4) İnşaat yatırımları  ile damızlık boğa ve koç-teke alımı başvurularında istenecek belgeler her yıl Bakanlıkça belirlenir ve uygulama rehberi ile yayımlanır.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Yatırım başvurularının incelenmesi ve değerlendirilmesi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12 – </w:t>
                  </w:r>
                  <w:r w:rsidRPr="002C52A0">
                    <w:rPr>
                      <w:rFonts w:eastAsia="Times New Roman" w:cs="Times New Roman"/>
                      <w:sz w:val="18"/>
                      <w:szCs w:val="18"/>
                      <w:lang w:eastAsia="tr-TR"/>
                    </w:rPr>
                    <w:t>(1) Yatırımcı inşaat ve hayvan alımı yatırım konuları için ayrı ayrı veya birlikte başvurur.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Yapılan başvurular, il proje yürütme birimince incelenir ve rapor olarak, il proje değerlendirme komisyonuna gönderilir. İl proje değerlendirme komisyonunca incelenen başvurulardan uygun olanlar, uygulama rehberinde yayınlanacak olan </w:t>
                  </w:r>
                  <w:proofErr w:type="gramStart"/>
                  <w:r w:rsidRPr="002C52A0">
                    <w:rPr>
                      <w:rFonts w:eastAsia="Times New Roman" w:cs="Times New Roman"/>
                      <w:sz w:val="18"/>
                      <w:szCs w:val="18"/>
                      <w:lang w:eastAsia="tr-TR"/>
                    </w:rPr>
                    <w:t>kriterlere</w:t>
                  </w:r>
                  <w:proofErr w:type="gramEnd"/>
                  <w:r w:rsidRPr="002C52A0">
                    <w:rPr>
                      <w:rFonts w:eastAsia="Times New Roman" w:cs="Times New Roman"/>
                      <w:sz w:val="18"/>
                      <w:szCs w:val="18"/>
                      <w:lang w:eastAsia="tr-TR"/>
                    </w:rPr>
                    <w:t> göre puan sıralaması esas alınarak listelenir ve Genel Müdürlüğe sunulmak üzere il müdürlüğüne gönderilir.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(3) İl müdürlüğü tarafından teknik gerekliliklere göre incelenerek  yatırıma uygun bulunan veya gerekçeli olmak şartıyla reddedilen başvurular, geliş sırası  esas alınarak yatırım konularına göre inşaat, damızlık boğa ve damızlık koç-teke alımı  başvuruları şeklinde listelenip, Genel Müdürlüğe gönderilir.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(4) Merkez proje değerlendirme komisyonu, il müdürlükleri tarafından gönderilen rapor ve listeleri geliş sıraları esas alınarak bütçe imkanları </w:t>
                  </w:r>
                  <w:proofErr w:type="gramStart"/>
                  <w:r w:rsidRPr="002C52A0">
                    <w:rPr>
                      <w:rFonts w:eastAsia="Times New Roman" w:cs="Times New Roman"/>
                      <w:sz w:val="18"/>
                      <w:szCs w:val="18"/>
                      <w:lang w:eastAsia="tr-TR"/>
                    </w:rPr>
                    <w:t>dahilinde</w:t>
                  </w:r>
                  <w:proofErr w:type="gramEnd"/>
                  <w:r w:rsidRPr="002C52A0">
                    <w:rPr>
                      <w:rFonts w:eastAsia="Times New Roman" w:cs="Times New Roman"/>
                      <w:sz w:val="18"/>
                      <w:szCs w:val="18"/>
                      <w:lang w:eastAsia="tr-TR"/>
                    </w:rPr>
                    <w:t> inceler ve onayladığı projeleri asil ve yedek olarak listeleyerek ilgili il müdürlüğüne gönderir.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(5) İl müdürlüğü, Genel Müdürlükten gelen asıl listelerde yer alan yatırımcılara, uygulama rehberinde yer alan temel </w:t>
                  </w:r>
                  <w:proofErr w:type="gramStart"/>
                  <w:r w:rsidRPr="002C52A0">
                    <w:rPr>
                      <w:rFonts w:eastAsia="Times New Roman" w:cs="Times New Roman"/>
                      <w:sz w:val="18"/>
                      <w:szCs w:val="18"/>
                      <w:lang w:eastAsia="tr-TR"/>
                    </w:rPr>
                    <w:t>kriterlere</w:t>
                  </w:r>
                  <w:proofErr w:type="gramEnd"/>
                  <w:r w:rsidRPr="002C52A0">
                    <w:rPr>
                      <w:rFonts w:eastAsia="Times New Roman" w:cs="Times New Roman"/>
                      <w:sz w:val="18"/>
                      <w:szCs w:val="18"/>
                      <w:lang w:eastAsia="tr-TR"/>
                    </w:rPr>
                    <w:t> göre inşaat yatırım projesinin hazırlanmasını ve onaya sunulmasını, damızlık boğa ve koç-teke alımlarının ise bir yıllık süre içerisinde gerçekleştirilmesini yazı ile bildirir.</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DÖRDÜNCÜ BÖLÜM</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Hak Edişler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Destekleme hak edişine başvuru ve hak ediş belgelerinin hazırlanması</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13 – </w:t>
                  </w:r>
                  <w:r w:rsidRPr="002C52A0">
                    <w:rPr>
                      <w:rFonts w:eastAsia="Times New Roman" w:cs="Times New Roman"/>
                      <w:sz w:val="18"/>
                      <w:szCs w:val="18"/>
                      <w:lang w:eastAsia="tr-TR"/>
                    </w:rPr>
                    <w:t>(1) Yatırımcı, tamamlanan yatırımları için dilekçe ile il müdürlüğüne başvurur.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Hak edişler, il proje yürütme birimince yerinde incelenerek hazırlanır.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(3) Onaylanan inşaat projelerinde, proje tamamlandığında; onaylanan hayvan alımı başvurularında ise hayvan alımı gerçekleştikten ve hayvanlar işletmeye getirildikten sonra hak ediş düzenlenir.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(4) Hayvan alımları için düzenlenecek hak edişlerde bir ziraat mühendisi (</w:t>
                  </w:r>
                  <w:proofErr w:type="spellStart"/>
                  <w:r w:rsidRPr="002C52A0">
                    <w:rPr>
                      <w:rFonts w:eastAsia="Times New Roman" w:cs="Times New Roman"/>
                      <w:sz w:val="18"/>
                      <w:szCs w:val="18"/>
                      <w:lang w:eastAsia="tr-TR"/>
                    </w:rPr>
                    <w:t>zooteknist</w:t>
                  </w:r>
                  <w:proofErr w:type="spellEnd"/>
                  <w:r w:rsidRPr="002C52A0">
                    <w:rPr>
                      <w:rFonts w:eastAsia="Times New Roman" w:cs="Times New Roman"/>
                      <w:sz w:val="18"/>
                      <w:szCs w:val="18"/>
                      <w:lang w:eastAsia="tr-TR"/>
                    </w:rPr>
                    <w:t>) ve bir veteriner hekimin işletmede yapacağı  tespit sonrasında verilecek raporun esas alınması zorunludur.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(5) İnşaat hak edişlerinde konu uzmanı en az bir teknik elemanın (mühendis/tekniker) imzası ve Çevre ve Şehircilik Bakanlığınca yayımlanan İnşaat ve Tesisat Analiz ve Birim Fiyatları üzerinden poz numaralarına bağlı olarak gerçekleşen keşif özetlerinin bulunması zorunludur.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(6) Yatırımcı,  hibe alacağını  başkasına devredemez. Ancak hayvan alımlarının  Bakanlık veya TİGEM tarafından karşılandığı hallerde yatırımcıya hibe edilecek tutar yatırımcı adına TİGEM’e ya da yükleniciye aktarılır.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Hak ediş icmallerinin düzenlenmesi ve destekleme ödemesine esas çalışmalar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14 – </w:t>
                  </w:r>
                  <w:r w:rsidRPr="002C52A0">
                    <w:rPr>
                      <w:rFonts w:eastAsia="Times New Roman" w:cs="Times New Roman"/>
                      <w:sz w:val="18"/>
                      <w:szCs w:val="18"/>
                      <w:lang w:eastAsia="tr-TR"/>
                    </w:rPr>
                    <w:t>(1) Hak ediş icmallerinin düzenlenmesi ve destekleme ödemesi, damızlık hayvanın teslim edildiği ve inşaatın tamamlandığı tarihteki, merkez proje değerlendirme komisyonunca belirlenmiş ve Genel Müdürlük tarafından ilan edilmiş damızlık fiyatları üzerinden yapılır.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İl proje yürütme birimince uygulama rehberindeki </w:t>
                  </w:r>
                  <w:proofErr w:type="gramStart"/>
                  <w:r w:rsidRPr="002C52A0">
                    <w:rPr>
                      <w:rFonts w:eastAsia="Times New Roman" w:cs="Times New Roman"/>
                      <w:sz w:val="18"/>
                      <w:szCs w:val="18"/>
                      <w:lang w:eastAsia="tr-TR"/>
                    </w:rPr>
                    <w:t>kriterlere</w:t>
                  </w:r>
                  <w:proofErr w:type="gramEnd"/>
                  <w:r w:rsidRPr="002C52A0">
                    <w:rPr>
                      <w:rFonts w:eastAsia="Times New Roman" w:cs="Times New Roman"/>
                      <w:sz w:val="18"/>
                      <w:szCs w:val="18"/>
                      <w:lang w:eastAsia="tr-TR"/>
                    </w:rPr>
                    <w:t> göre hazırlanan hak edişler il proje değerlendirme komisyonu onayına sunulur.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(3) İl proje değerlendirme komisyonunca ödemeye uygun bulunan hak edişler için uygulama rehberinde yer alan ödeme icmal cetveli düzenlenerek onaylanır ve Genel Müdürlüğe gönderilir.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(4) Proje için öngörülen bütçe miktarını aşmamak şartıyla, gelen icmaller Genel Müdürlükçe değerlendirilerek yatırımcıya ödeme yapılmak üzere bankaya gönderilir. Hayvan alımı  Bakanlık ya da TİGEM tarafından karşılanan yatırımcılara ödenecek hibe tutarı yatırımcı adına yükleniciye veya TİGEM’e ödenmek üzere bankaya gönderilir.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(5) Projenin tamamlanması  sonucu yatırımcıya  ödenecek hak ediş, yatırımcı tarafından üçüncü kişilere devredilemez ve temlik konulamaz.</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BEŞİNCİ BÖLÜM</w:t>
                  </w:r>
                </w:p>
                <w:p w:rsidR="002C52A0" w:rsidRPr="002C52A0" w:rsidRDefault="002C52A0" w:rsidP="002C52A0">
                  <w:pPr>
                    <w:spacing w:after="0" w:line="240" w:lineRule="atLeast"/>
                    <w:jc w:val="center"/>
                    <w:rPr>
                      <w:rFonts w:eastAsia="Times New Roman" w:cs="Times New Roman"/>
                      <w:b/>
                      <w:bCs/>
                      <w:sz w:val="19"/>
                      <w:szCs w:val="19"/>
                      <w:lang w:eastAsia="tr-TR"/>
                    </w:rPr>
                  </w:pPr>
                  <w:r w:rsidRPr="002C52A0">
                    <w:rPr>
                      <w:rFonts w:eastAsia="Times New Roman" w:cs="Times New Roman"/>
                      <w:b/>
                      <w:bCs/>
                      <w:sz w:val="18"/>
                      <w:szCs w:val="18"/>
                      <w:lang w:eastAsia="tr-TR"/>
                    </w:rPr>
                    <w:t>Çeşitli ve Son Hükümler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Finansman ve ödemeler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15 – </w:t>
                  </w:r>
                  <w:r w:rsidRPr="002C52A0">
                    <w:rPr>
                      <w:rFonts w:eastAsia="Times New Roman" w:cs="Times New Roman"/>
                      <w:sz w:val="18"/>
                      <w:szCs w:val="18"/>
                      <w:lang w:eastAsia="tr-TR"/>
                    </w:rPr>
                    <w:t>(1) Karar uyarınca yapılacak ödemeler için gerekli kaynak, Bakanlığın ilgili bütçesine tahsis edilen ödeneklerden karşılanır.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Ödemeler Banka aracılığıyla yapılır. Uygulama ile ilgili olarak Bankaya destekleme tutarının % 0,2’si oranında hizmet komisyonu ödenir.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Desteklerden yararlanamayacak olanlar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16 – </w:t>
                  </w:r>
                  <w:r w:rsidRPr="002C52A0">
                    <w:rPr>
                      <w:rFonts w:eastAsia="Times New Roman" w:cs="Times New Roman"/>
                      <w:sz w:val="18"/>
                      <w:szCs w:val="18"/>
                      <w:lang w:eastAsia="tr-TR"/>
                    </w:rPr>
                    <w:t>(1) Bu Tebliğ kapsamındaki hibe desteklerinden kamu kurum ve kuruluşları ile ortaklıkları yararlanamaz.</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 xml:space="preserve">(2) Devlet memurları, kamu işçileri ve Devlet üniversitelerinde görevli öğretim elemanları hibe desteğinden </w:t>
                  </w:r>
                  <w:r w:rsidRPr="002C52A0">
                    <w:rPr>
                      <w:rFonts w:eastAsia="Times New Roman" w:cs="Times New Roman"/>
                      <w:sz w:val="18"/>
                      <w:szCs w:val="18"/>
                      <w:lang w:eastAsia="tr-TR"/>
                    </w:rPr>
                    <w:lastRenderedPageBreak/>
                    <w:t>yararlanamaz ve başvuru yapamazlar.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(3) Yatırımcılar, aynı yatırım için Bakanlık veya diğer kamu kurum ve kuruluşlarınca uygulanan faiz indirimi veya hibe desteği programlarından yararlanamaz, yararlanmış ise Karar kapsamında yararlanılan destekler, ilgili mevzuat çerçevesinde geri alınır.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Denetim, haksız ödemelerin geri alınması ve hak mahrumiyeti</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17 – </w:t>
                  </w:r>
                  <w:r w:rsidRPr="002C52A0">
                    <w:rPr>
                      <w:rFonts w:eastAsia="Times New Roman" w:cs="Times New Roman"/>
                      <w:sz w:val="18"/>
                      <w:szCs w:val="18"/>
                      <w:lang w:eastAsia="tr-TR"/>
                    </w:rPr>
                    <w:t>(1) Onaylanan yatırımın </w:t>
                  </w:r>
                  <w:proofErr w:type="spellStart"/>
                  <w:r w:rsidRPr="002C52A0">
                    <w:rPr>
                      <w:rFonts w:eastAsia="Times New Roman" w:cs="Times New Roman"/>
                      <w:sz w:val="18"/>
                      <w:szCs w:val="18"/>
                      <w:lang w:eastAsia="tr-TR"/>
                    </w:rPr>
                    <w:t>termin</w:t>
                  </w:r>
                  <w:proofErr w:type="spellEnd"/>
                  <w:r w:rsidRPr="002C52A0">
                    <w:rPr>
                      <w:rFonts w:eastAsia="Times New Roman" w:cs="Times New Roman"/>
                      <w:sz w:val="18"/>
                      <w:szCs w:val="18"/>
                      <w:lang w:eastAsia="tr-TR"/>
                    </w:rPr>
                    <w:t> planına uygun olarak yapılıp yapılmadığı il müdürlüğünce denetlenir. Yatırımın tamamlanması ve hak edişlerin ödenmesi sonrasında inşaat yatırımlarında üç yıl, erkek materyal yatırımları için iki yıl olmak üzere yılda en az bir defa il müdürlüklerince işletmeler denetlenir. Yapılacak kontrol ve denetimler sonucunda tespit edilen hata veya noksanlıkların, il müdürlüğünce belirlenecek süre içerisinde yatırımcı tarafından giderilmesinin zorunlu olduğu yazı ile yatırımcıya bildirilir.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(2) Bu Tebliğde yer almayan teknik konularda uygulama rehberi, genelgeler ve talimatlar uygulanır. Ancak bu Tebliğde, uygulama rehberinde, genelgelerde ve talimatlarda yer almayan hususlarda taşrada oluşacak problemlerin çözümünde, yürürlükteki mevzuat çerçevesinde kalmak koşulu ile il müdürlükleri yetkilidir.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(3) Destekleme ödemeleri ile ilgili hususlarda denetimi sağlayacak tedbirleri Bakanlık alır.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sz w:val="18"/>
                      <w:szCs w:val="18"/>
                      <w:lang w:eastAsia="tr-TR"/>
                    </w:rPr>
                    <w:t>(4) Kararla belirlenen destekleme ödemelerinden, idari hata sonucu düzenlenen belgelerle yapılan ödemeler hariç, haksız yere yararlandığı tespit edilen yatırımcıya 5488 sayılı Tarım Kanununun 23 üncü maddesi hükümleri uygulanır.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Yürürlükten kaldırılan tebliğ</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18 – </w:t>
                  </w:r>
                  <w:r w:rsidRPr="002C52A0">
                    <w:rPr>
                      <w:rFonts w:eastAsia="Times New Roman" w:cs="Times New Roman"/>
                      <w:sz w:val="18"/>
                      <w:szCs w:val="18"/>
                      <w:lang w:eastAsia="tr-TR"/>
                    </w:rPr>
                    <w:t xml:space="preserve">(1) </w:t>
                  </w:r>
                  <w:proofErr w:type="gramStart"/>
                  <w:r w:rsidRPr="002C52A0">
                    <w:rPr>
                      <w:rFonts w:eastAsia="Times New Roman" w:cs="Times New Roman"/>
                      <w:sz w:val="18"/>
                      <w:szCs w:val="18"/>
                      <w:lang w:eastAsia="tr-TR"/>
                    </w:rPr>
                    <w:t>30/1/2015</w:t>
                  </w:r>
                  <w:proofErr w:type="gramEnd"/>
                  <w:r w:rsidRPr="002C52A0">
                    <w:rPr>
                      <w:rFonts w:eastAsia="Times New Roman" w:cs="Times New Roman"/>
                      <w:sz w:val="18"/>
                      <w:szCs w:val="18"/>
                      <w:lang w:eastAsia="tr-TR"/>
                    </w:rPr>
                    <w:t xml:space="preserve"> tarihli ve 29252 sayılı Resmî </w:t>
                  </w:r>
                  <w:proofErr w:type="spellStart"/>
                  <w:r w:rsidRPr="002C52A0">
                    <w:rPr>
                      <w:rFonts w:eastAsia="Times New Roman" w:cs="Times New Roman"/>
                      <w:sz w:val="18"/>
                      <w:szCs w:val="18"/>
                      <w:lang w:eastAsia="tr-TR"/>
                    </w:rPr>
                    <w:t>Gazete’de</w:t>
                  </w:r>
                  <w:proofErr w:type="spellEnd"/>
                  <w:r w:rsidRPr="002C52A0">
                    <w:rPr>
                      <w:rFonts w:eastAsia="Times New Roman" w:cs="Times New Roman"/>
                      <w:sz w:val="18"/>
                      <w:szCs w:val="18"/>
                      <w:lang w:eastAsia="tr-TR"/>
                    </w:rPr>
                    <w:t xml:space="preserve"> yayımlanan Doğu Anadolu, Güneydoğu Anadolu, Konya Ovası ve Doğu Karadeniz Projeleri Kapsamındaki  İllerde Hayvancılık Yatırımlarının Desteklenmesine  İlişkin Uygulama Esasları Tebliği (Tebliğ No: 2015/4) yürürlükten kaldırılmıştır.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Tamamlanamayan işlemler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19 – </w:t>
                  </w:r>
                  <w:r w:rsidRPr="002C52A0">
                    <w:rPr>
                      <w:rFonts w:eastAsia="Times New Roman" w:cs="Times New Roman"/>
                      <w:sz w:val="18"/>
                      <w:szCs w:val="18"/>
                      <w:lang w:eastAsia="tr-TR"/>
                    </w:rPr>
                    <w:t>(1) 18 inci madde ile yürürlükten kaldırılan Doğu Anadolu, Güneydoğu Anadolu, Konya Ovası ve Doğu Karadeniz Projeleri Kapsamındaki İllerde Hayvancılık Yatırımlarının Desteklenmesine İlişkin Uygulama Esasları Tebliği (Tebliğ No: 2015/4) hükümlerine göre başvuruları yapılmış ve sonuçlandırılmamış işlemler bu Tebliğ hükümlerine göre sonuçlandırılır.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Yürürlük</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20 – </w:t>
                  </w:r>
                  <w:r w:rsidRPr="002C52A0">
                    <w:rPr>
                      <w:rFonts w:eastAsia="Times New Roman" w:cs="Times New Roman"/>
                      <w:sz w:val="18"/>
                      <w:szCs w:val="18"/>
                      <w:lang w:eastAsia="tr-TR"/>
                    </w:rPr>
                    <w:t>(1) Bu Tebliğ yayımı tarihinde yürürlüğe girer.</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Yürütme</w:t>
                  </w:r>
                </w:p>
                <w:p w:rsidR="002C52A0" w:rsidRPr="002C52A0" w:rsidRDefault="002C52A0" w:rsidP="002C52A0">
                  <w:pPr>
                    <w:spacing w:after="0" w:line="240" w:lineRule="atLeast"/>
                    <w:ind w:firstLine="566"/>
                    <w:jc w:val="both"/>
                    <w:rPr>
                      <w:rFonts w:eastAsia="Times New Roman" w:cs="Times New Roman"/>
                      <w:sz w:val="19"/>
                      <w:szCs w:val="19"/>
                      <w:lang w:eastAsia="tr-TR"/>
                    </w:rPr>
                  </w:pPr>
                  <w:r w:rsidRPr="002C52A0">
                    <w:rPr>
                      <w:rFonts w:eastAsia="Times New Roman" w:cs="Times New Roman"/>
                      <w:b/>
                      <w:bCs/>
                      <w:sz w:val="18"/>
                      <w:szCs w:val="18"/>
                      <w:lang w:eastAsia="tr-TR"/>
                    </w:rPr>
                    <w:t>MADDE 21 – </w:t>
                  </w:r>
                  <w:r w:rsidRPr="002C52A0">
                    <w:rPr>
                      <w:rFonts w:eastAsia="Times New Roman" w:cs="Times New Roman"/>
                      <w:sz w:val="18"/>
                      <w:szCs w:val="18"/>
                      <w:lang w:eastAsia="tr-TR"/>
                    </w:rPr>
                    <w:t>(1) Bu Tebliğ hükümlerini Gıda, Tarım ve Hayvancılık Bakanı yürütür.</w:t>
                  </w:r>
                </w:p>
                <w:p w:rsidR="002C52A0" w:rsidRPr="002C52A0" w:rsidRDefault="002C52A0" w:rsidP="002C52A0">
                  <w:pPr>
                    <w:spacing w:before="100" w:beforeAutospacing="1" w:after="100" w:afterAutospacing="1" w:line="240" w:lineRule="auto"/>
                    <w:jc w:val="center"/>
                    <w:rPr>
                      <w:rFonts w:eastAsia="Times New Roman" w:cs="Times New Roman"/>
                      <w:szCs w:val="24"/>
                      <w:lang w:eastAsia="tr-TR"/>
                    </w:rPr>
                  </w:pPr>
                  <w:r w:rsidRPr="002C52A0">
                    <w:rPr>
                      <w:rFonts w:ascii="Arial" w:eastAsia="Times New Roman" w:hAnsi="Arial" w:cs="Arial"/>
                      <w:b/>
                      <w:bCs/>
                      <w:color w:val="000080"/>
                      <w:sz w:val="18"/>
                      <w:szCs w:val="18"/>
                      <w:lang w:eastAsia="tr-TR"/>
                    </w:rPr>
                    <w:t> </w:t>
                  </w:r>
                </w:p>
              </w:tc>
            </w:tr>
          </w:tbl>
          <w:p w:rsidR="002C52A0" w:rsidRPr="002C52A0" w:rsidRDefault="002C52A0" w:rsidP="002C52A0">
            <w:pPr>
              <w:spacing w:after="0" w:line="240" w:lineRule="auto"/>
              <w:rPr>
                <w:rFonts w:eastAsia="Times New Roman" w:cs="Times New Roman"/>
                <w:szCs w:val="24"/>
                <w:lang w:eastAsia="tr-TR"/>
              </w:rPr>
            </w:pPr>
          </w:p>
        </w:tc>
      </w:tr>
    </w:tbl>
    <w:p w:rsidR="002C52A0" w:rsidRPr="002C52A0" w:rsidRDefault="002C52A0" w:rsidP="002C52A0">
      <w:pPr>
        <w:spacing w:after="0" w:line="240" w:lineRule="auto"/>
        <w:jc w:val="center"/>
        <w:rPr>
          <w:rFonts w:eastAsia="Times New Roman" w:cs="Times New Roman"/>
          <w:color w:val="000000"/>
          <w:sz w:val="27"/>
          <w:szCs w:val="27"/>
          <w:lang w:eastAsia="tr-TR"/>
        </w:rPr>
      </w:pPr>
      <w:r w:rsidRPr="002C52A0">
        <w:rPr>
          <w:rFonts w:eastAsia="Times New Roman" w:cs="Times New Roman"/>
          <w:color w:val="000000"/>
          <w:sz w:val="27"/>
          <w:szCs w:val="27"/>
          <w:lang w:eastAsia="tr-TR"/>
        </w:rPr>
        <w:lastRenderedPageBreak/>
        <w:t> </w:t>
      </w:r>
    </w:p>
    <w:p w:rsidR="00D66182" w:rsidRDefault="00D66182"/>
    <w:sectPr w:rsidR="00D66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8"/>
    <w:rsid w:val="000A27C4"/>
    <w:rsid w:val="002C52A0"/>
    <w:rsid w:val="00D17338"/>
    <w:rsid w:val="00D66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C52A0"/>
    <w:pPr>
      <w:spacing w:before="100" w:beforeAutospacing="1" w:after="100" w:afterAutospacing="1" w:line="240" w:lineRule="auto"/>
    </w:pPr>
    <w:rPr>
      <w:rFonts w:eastAsia="Times New Roman" w:cs="Times New Roman"/>
      <w:szCs w:val="24"/>
      <w:lang w:eastAsia="tr-TR"/>
    </w:rPr>
  </w:style>
  <w:style w:type="paragraph" w:customStyle="1" w:styleId="ortabalkbold">
    <w:name w:val="ortabalkbold"/>
    <w:basedOn w:val="Normal"/>
    <w:rsid w:val="002C52A0"/>
    <w:pPr>
      <w:spacing w:before="100" w:beforeAutospacing="1" w:after="100" w:afterAutospacing="1" w:line="240" w:lineRule="auto"/>
    </w:pPr>
    <w:rPr>
      <w:rFonts w:eastAsia="Times New Roman" w:cs="Times New Roman"/>
      <w:szCs w:val="24"/>
      <w:lang w:eastAsia="tr-TR"/>
    </w:rPr>
  </w:style>
  <w:style w:type="paragraph" w:customStyle="1" w:styleId="metin">
    <w:name w:val="metin"/>
    <w:basedOn w:val="Normal"/>
    <w:rsid w:val="002C52A0"/>
    <w:pPr>
      <w:spacing w:before="100" w:beforeAutospacing="1" w:after="100" w:afterAutospacing="1" w:line="240" w:lineRule="auto"/>
    </w:pPr>
    <w:rPr>
      <w:rFonts w:eastAsia="Times New Roman" w:cs="Times New Roman"/>
      <w:szCs w:val="24"/>
      <w:lang w:eastAsia="tr-TR"/>
    </w:rPr>
  </w:style>
  <w:style w:type="character" w:customStyle="1" w:styleId="apple-converted-space">
    <w:name w:val="apple-converted-space"/>
    <w:basedOn w:val="VarsaylanParagrafYazTipi"/>
    <w:rsid w:val="002C52A0"/>
  </w:style>
  <w:style w:type="character" w:customStyle="1" w:styleId="grame">
    <w:name w:val="grame"/>
    <w:basedOn w:val="VarsaylanParagrafYazTipi"/>
    <w:rsid w:val="002C52A0"/>
  </w:style>
  <w:style w:type="character" w:customStyle="1" w:styleId="spelle">
    <w:name w:val="spelle"/>
    <w:basedOn w:val="VarsaylanParagrafYazTipi"/>
    <w:rsid w:val="002C52A0"/>
  </w:style>
  <w:style w:type="paragraph" w:styleId="NormalWeb">
    <w:name w:val="Normal (Web)"/>
    <w:basedOn w:val="Normal"/>
    <w:uiPriority w:val="99"/>
    <w:unhideWhenUsed/>
    <w:rsid w:val="002C52A0"/>
    <w:pPr>
      <w:spacing w:before="100" w:beforeAutospacing="1" w:after="100" w:afterAutospacing="1" w:line="240" w:lineRule="auto"/>
    </w:pPr>
    <w:rPr>
      <w:rFonts w:eastAsia="Times New Roman" w:cs="Times New Roman"/>
      <w:szCs w:val="24"/>
      <w:lang w:eastAsia="tr-TR"/>
    </w:rPr>
  </w:style>
  <w:style w:type="paragraph" w:styleId="BalonMetni">
    <w:name w:val="Balloon Text"/>
    <w:basedOn w:val="Normal"/>
    <w:link w:val="BalonMetniChar"/>
    <w:uiPriority w:val="99"/>
    <w:semiHidden/>
    <w:unhideWhenUsed/>
    <w:rsid w:val="002C5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5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C52A0"/>
    <w:pPr>
      <w:spacing w:before="100" w:beforeAutospacing="1" w:after="100" w:afterAutospacing="1" w:line="240" w:lineRule="auto"/>
    </w:pPr>
    <w:rPr>
      <w:rFonts w:eastAsia="Times New Roman" w:cs="Times New Roman"/>
      <w:szCs w:val="24"/>
      <w:lang w:eastAsia="tr-TR"/>
    </w:rPr>
  </w:style>
  <w:style w:type="paragraph" w:customStyle="1" w:styleId="ortabalkbold">
    <w:name w:val="ortabalkbold"/>
    <w:basedOn w:val="Normal"/>
    <w:rsid w:val="002C52A0"/>
    <w:pPr>
      <w:spacing w:before="100" w:beforeAutospacing="1" w:after="100" w:afterAutospacing="1" w:line="240" w:lineRule="auto"/>
    </w:pPr>
    <w:rPr>
      <w:rFonts w:eastAsia="Times New Roman" w:cs="Times New Roman"/>
      <w:szCs w:val="24"/>
      <w:lang w:eastAsia="tr-TR"/>
    </w:rPr>
  </w:style>
  <w:style w:type="paragraph" w:customStyle="1" w:styleId="metin">
    <w:name w:val="metin"/>
    <w:basedOn w:val="Normal"/>
    <w:rsid w:val="002C52A0"/>
    <w:pPr>
      <w:spacing w:before="100" w:beforeAutospacing="1" w:after="100" w:afterAutospacing="1" w:line="240" w:lineRule="auto"/>
    </w:pPr>
    <w:rPr>
      <w:rFonts w:eastAsia="Times New Roman" w:cs="Times New Roman"/>
      <w:szCs w:val="24"/>
      <w:lang w:eastAsia="tr-TR"/>
    </w:rPr>
  </w:style>
  <w:style w:type="character" w:customStyle="1" w:styleId="apple-converted-space">
    <w:name w:val="apple-converted-space"/>
    <w:basedOn w:val="VarsaylanParagrafYazTipi"/>
    <w:rsid w:val="002C52A0"/>
  </w:style>
  <w:style w:type="character" w:customStyle="1" w:styleId="grame">
    <w:name w:val="grame"/>
    <w:basedOn w:val="VarsaylanParagrafYazTipi"/>
    <w:rsid w:val="002C52A0"/>
  </w:style>
  <w:style w:type="character" w:customStyle="1" w:styleId="spelle">
    <w:name w:val="spelle"/>
    <w:basedOn w:val="VarsaylanParagrafYazTipi"/>
    <w:rsid w:val="002C52A0"/>
  </w:style>
  <w:style w:type="paragraph" w:styleId="NormalWeb">
    <w:name w:val="Normal (Web)"/>
    <w:basedOn w:val="Normal"/>
    <w:uiPriority w:val="99"/>
    <w:unhideWhenUsed/>
    <w:rsid w:val="002C52A0"/>
    <w:pPr>
      <w:spacing w:before="100" w:beforeAutospacing="1" w:after="100" w:afterAutospacing="1" w:line="240" w:lineRule="auto"/>
    </w:pPr>
    <w:rPr>
      <w:rFonts w:eastAsia="Times New Roman" w:cs="Times New Roman"/>
      <w:szCs w:val="24"/>
      <w:lang w:eastAsia="tr-TR"/>
    </w:rPr>
  </w:style>
  <w:style w:type="paragraph" w:styleId="BalonMetni">
    <w:name w:val="Balloon Text"/>
    <w:basedOn w:val="Normal"/>
    <w:link w:val="BalonMetniChar"/>
    <w:uiPriority w:val="99"/>
    <w:semiHidden/>
    <w:unhideWhenUsed/>
    <w:rsid w:val="002C5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5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F6B11-CE0F-4076-ABC7-59C5232D1506}"/>
</file>

<file path=customXml/itemProps2.xml><?xml version="1.0" encoding="utf-8"?>
<ds:datastoreItem xmlns:ds="http://schemas.openxmlformats.org/officeDocument/2006/customXml" ds:itemID="{9B936ED4-F8F1-4AD2-9E29-9490A323A171}"/>
</file>

<file path=customXml/itemProps3.xml><?xml version="1.0" encoding="utf-8"?>
<ds:datastoreItem xmlns:ds="http://schemas.openxmlformats.org/officeDocument/2006/customXml" ds:itemID="{320918A8-C65A-4527-9D43-19FAC66D8A6E}"/>
</file>

<file path=docProps/app.xml><?xml version="1.0" encoding="utf-8"?>
<Properties xmlns="http://schemas.openxmlformats.org/officeDocument/2006/extended-properties" xmlns:vt="http://schemas.openxmlformats.org/officeDocument/2006/docPropsVTypes">
  <Template>Normal</Template>
  <TotalTime>33</TotalTime>
  <Pages>6</Pages>
  <Words>3826</Words>
  <Characters>21812</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Özgür</dc:creator>
  <cp:keywords/>
  <dc:description/>
  <cp:lastModifiedBy>Hakan Özgür</cp:lastModifiedBy>
  <cp:revision>2</cp:revision>
  <cp:lastPrinted>2017-03-06T06:11:00Z</cp:lastPrinted>
  <dcterms:created xsi:type="dcterms:W3CDTF">2017-03-06T06:02:00Z</dcterms:created>
  <dcterms:modified xsi:type="dcterms:W3CDTF">2017-03-06T07:12:00Z</dcterms:modified>
</cp:coreProperties>
</file>