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0E" w:rsidRDefault="00560A0E" w:rsidP="00560A0E">
      <w:pPr>
        <w:ind w:left="-426" w:firstLine="426"/>
        <w:jc w:val="center"/>
        <w:rPr>
          <w:b/>
          <w:sz w:val="24"/>
          <w:szCs w:val="24"/>
        </w:rPr>
      </w:pPr>
      <w:r>
        <w:rPr>
          <w:b/>
          <w:sz w:val="24"/>
          <w:szCs w:val="24"/>
        </w:rPr>
        <w:t xml:space="preserve">İ L A N </w:t>
      </w:r>
      <w:r>
        <w:rPr>
          <w:b/>
          <w:sz w:val="24"/>
          <w:szCs w:val="24"/>
        </w:rPr>
        <w:tab/>
      </w:r>
    </w:p>
    <w:p w:rsidR="00560A0E" w:rsidRDefault="00560A0E" w:rsidP="00560A0E">
      <w:pPr>
        <w:jc w:val="center"/>
        <w:rPr>
          <w:b/>
          <w:sz w:val="24"/>
          <w:szCs w:val="24"/>
        </w:rPr>
      </w:pPr>
      <w:r>
        <w:rPr>
          <w:b/>
          <w:sz w:val="24"/>
          <w:szCs w:val="24"/>
        </w:rPr>
        <w:t>SİVAS MERA KOMİSYON BAŞKANLIĞINDAN</w:t>
      </w:r>
    </w:p>
    <w:p w:rsidR="00560A0E" w:rsidRDefault="00560A0E" w:rsidP="00560A0E">
      <w:pPr>
        <w:jc w:val="center"/>
        <w:rPr>
          <w:b/>
          <w:sz w:val="24"/>
          <w:szCs w:val="24"/>
        </w:rPr>
      </w:pPr>
    </w:p>
    <w:p w:rsidR="00560A0E" w:rsidRDefault="00560A0E" w:rsidP="00560A0E">
      <w:pPr>
        <w:ind w:firstLine="708"/>
        <w:jc w:val="both"/>
        <w:rPr>
          <w:sz w:val="24"/>
          <w:szCs w:val="24"/>
        </w:rPr>
      </w:pPr>
      <w:r>
        <w:rPr>
          <w:sz w:val="24"/>
          <w:szCs w:val="24"/>
        </w:rPr>
        <w:t xml:space="preserve">4342 sayılı Mera Kanununun 12.maddesi ile ilgili Yönetmeliğin 13.maddesi ve İl Mera Komisyonunun 30.05.2016 tarih ve 478 sayılı kararı ile Sivas </w:t>
      </w:r>
      <w:proofErr w:type="gramStart"/>
      <w:r>
        <w:rPr>
          <w:sz w:val="24"/>
          <w:szCs w:val="24"/>
        </w:rPr>
        <w:t>İli , İlçeleri</w:t>
      </w:r>
      <w:proofErr w:type="gramEnd"/>
      <w:r>
        <w:rPr>
          <w:sz w:val="24"/>
          <w:szCs w:val="24"/>
        </w:rPr>
        <w:t xml:space="preserve"> ve bunlara bağlı belde ve köylerde bulunan ihtiyaç fazlası mera yaylak ve kışlaklar 2886 sayılı yasanın 51(g).maddesi gereğince  pazarlık  usulü ile kiraya verilecektir.</w:t>
      </w:r>
    </w:p>
    <w:p w:rsidR="00560A0E" w:rsidRDefault="00560A0E" w:rsidP="00560A0E">
      <w:pPr>
        <w:jc w:val="both"/>
        <w:rPr>
          <w:sz w:val="24"/>
          <w:szCs w:val="24"/>
        </w:rPr>
      </w:pPr>
      <w:r>
        <w:rPr>
          <w:sz w:val="24"/>
          <w:szCs w:val="24"/>
        </w:rPr>
        <w:t xml:space="preserve">            </w:t>
      </w:r>
      <w:proofErr w:type="gramStart"/>
      <w:r>
        <w:rPr>
          <w:sz w:val="24"/>
          <w:szCs w:val="24"/>
        </w:rPr>
        <w:t xml:space="preserve">1- İl Mera Komisyonunun 29.03.2016 tarih ve 473 sayılı kararları ile Sivas İli Merkez İlçe </w:t>
      </w:r>
      <w:proofErr w:type="spellStart"/>
      <w:r>
        <w:rPr>
          <w:sz w:val="24"/>
          <w:szCs w:val="24"/>
        </w:rPr>
        <w:t>Yağmurluseki</w:t>
      </w:r>
      <w:proofErr w:type="spellEnd"/>
      <w:r>
        <w:rPr>
          <w:sz w:val="24"/>
          <w:szCs w:val="24"/>
        </w:rPr>
        <w:t xml:space="preserve"> ve Kuşlu Köyleri ile Ulaş İlçesi </w:t>
      </w:r>
      <w:proofErr w:type="spellStart"/>
      <w:r>
        <w:rPr>
          <w:sz w:val="24"/>
          <w:szCs w:val="24"/>
        </w:rPr>
        <w:t>Kapukaya</w:t>
      </w:r>
      <w:proofErr w:type="spellEnd"/>
      <w:r>
        <w:rPr>
          <w:sz w:val="24"/>
          <w:szCs w:val="24"/>
        </w:rPr>
        <w:t xml:space="preserve"> Köyü ihtiyaç fazlası mera alanları Sivas İli Damızlık Koyun Keçi Yetiştiricileri Birliğinin 25.03.2016 tarih ve 44 sayılı başvurularına istinaden Bakanlığımız, Tarımsal Araştırmalar ve Politikalar Genel Müdürlüğü koordinatörlüğünde Sivas İl Gıda, Tarım ve Hayvancılık Müdürlüğü ve İlçe Müdürlükleri kontrolünde yürütülen “Halk Elinde Ulusal Akkaraman Irkı Kangal Tipi Koyun Islahı Projesi” kapsamında bulunan elit sürülerin kaba yem açığının karşılanması amacıyla söz konusu projeye ve proje kapsamındaki sürülere 2016 otlatma periyodu süresince kullandırılmasına-tahsisine karar verilmiştir. </w:t>
      </w:r>
      <w:proofErr w:type="gramEnd"/>
      <w:r>
        <w:rPr>
          <w:sz w:val="24"/>
          <w:szCs w:val="24"/>
        </w:rPr>
        <w:t xml:space="preserve">Ancak Sivas İli Damızlık Koyun Keçi Yetiştiricileri Birliğinin 26.05.2016 tarihli dilekçeleri ile Ulaş İlçesi TİGEM arazisi içerisinde birliğe tahsis edilen mera alanlarında ıslah çalışmaları tamamlanmış ve proje kapsamındaki sürülerin ihtiyacını karşılayabilir durumda olduğundan ilgili tahsisin kaldırılmasını talep etmiştir. İlgili talep İl Mera Komisyonunun 30.05.2016 tarih ve 478 sayılı kararları ile değerlendirilmiş ve talebin kabulü ile yapılan tahsis kararı kaldırılarak ilgili yerlerin 2016 otlatma sezonu için göçer amaçlı olarak kiraya verilmesine karar verilmiştir. Sivas İli Merkez İlçe </w:t>
      </w:r>
      <w:proofErr w:type="spellStart"/>
      <w:r>
        <w:rPr>
          <w:sz w:val="24"/>
          <w:szCs w:val="24"/>
        </w:rPr>
        <w:t>Yağmurluseki</w:t>
      </w:r>
      <w:proofErr w:type="spellEnd"/>
      <w:r>
        <w:rPr>
          <w:sz w:val="24"/>
          <w:szCs w:val="24"/>
        </w:rPr>
        <w:t xml:space="preserve"> ve Kuşlu Köyleri ile Ulaş İlçesi </w:t>
      </w:r>
      <w:proofErr w:type="spellStart"/>
      <w:r>
        <w:rPr>
          <w:sz w:val="24"/>
          <w:szCs w:val="24"/>
        </w:rPr>
        <w:t>Kapukaya</w:t>
      </w:r>
      <w:proofErr w:type="spellEnd"/>
      <w:r>
        <w:rPr>
          <w:sz w:val="24"/>
          <w:szCs w:val="24"/>
        </w:rPr>
        <w:t xml:space="preserve"> Köyü ihtiyaç fazlası mera alanlarının </w:t>
      </w:r>
      <w:r>
        <w:rPr>
          <w:b/>
          <w:sz w:val="24"/>
          <w:szCs w:val="24"/>
        </w:rPr>
        <w:t>06.06.2016</w:t>
      </w:r>
      <w:r>
        <w:rPr>
          <w:sz w:val="24"/>
          <w:szCs w:val="24"/>
        </w:rPr>
        <w:t xml:space="preserve"> tarihinde tüm göçerlerin katılabileceği kiralama ihalesi ile pazarlık usulü ile kiraya verilecektir.</w:t>
      </w:r>
    </w:p>
    <w:p w:rsidR="00560A0E" w:rsidRDefault="00560A0E" w:rsidP="00560A0E">
      <w:pPr>
        <w:ind w:firstLine="708"/>
        <w:jc w:val="both"/>
        <w:rPr>
          <w:sz w:val="24"/>
          <w:szCs w:val="24"/>
        </w:rPr>
      </w:pPr>
      <w:r>
        <w:rPr>
          <w:sz w:val="24"/>
          <w:szCs w:val="24"/>
        </w:rPr>
        <w:t xml:space="preserve">2-İhaleler İl Gıda Tarım ve Hayvancılık Müdürlüğü TAD Şube Müdürlüğü 84.no’lu odasında yapılacaktır. </w:t>
      </w:r>
    </w:p>
    <w:p w:rsidR="00560A0E" w:rsidRDefault="00560A0E" w:rsidP="00560A0E">
      <w:pPr>
        <w:ind w:firstLine="708"/>
        <w:jc w:val="both"/>
        <w:rPr>
          <w:sz w:val="24"/>
          <w:szCs w:val="24"/>
        </w:rPr>
      </w:pPr>
      <w:r>
        <w:rPr>
          <w:sz w:val="24"/>
          <w:szCs w:val="24"/>
        </w:rPr>
        <w:t>3-Postayla yapılacak müracaatlarda postadaki gecikmeler kabul edilmez.</w:t>
      </w:r>
    </w:p>
    <w:p w:rsidR="00560A0E" w:rsidRDefault="00560A0E" w:rsidP="00560A0E">
      <w:pPr>
        <w:ind w:firstLine="708"/>
        <w:jc w:val="both"/>
        <w:rPr>
          <w:b/>
          <w:sz w:val="24"/>
          <w:szCs w:val="24"/>
        </w:rPr>
      </w:pPr>
      <w:r>
        <w:rPr>
          <w:sz w:val="24"/>
          <w:szCs w:val="24"/>
        </w:rPr>
        <w:t>4-</w:t>
      </w:r>
      <w:r>
        <w:rPr>
          <w:b/>
          <w:sz w:val="24"/>
          <w:szCs w:val="24"/>
        </w:rPr>
        <w:t xml:space="preserve">İhaleye katılacakların </w:t>
      </w:r>
    </w:p>
    <w:p w:rsidR="00560A0E" w:rsidRDefault="00560A0E" w:rsidP="00560A0E">
      <w:pPr>
        <w:ind w:firstLine="708"/>
        <w:jc w:val="both"/>
        <w:rPr>
          <w:sz w:val="24"/>
          <w:szCs w:val="24"/>
        </w:rPr>
      </w:pPr>
      <w:r>
        <w:rPr>
          <w:sz w:val="24"/>
          <w:szCs w:val="24"/>
        </w:rPr>
        <w:t>a)- Talep Dilekçesi</w:t>
      </w:r>
    </w:p>
    <w:p w:rsidR="00560A0E" w:rsidRDefault="00560A0E" w:rsidP="00560A0E">
      <w:pPr>
        <w:ind w:firstLine="708"/>
        <w:jc w:val="both"/>
        <w:rPr>
          <w:sz w:val="24"/>
          <w:szCs w:val="24"/>
        </w:rPr>
      </w:pPr>
      <w:r>
        <w:rPr>
          <w:sz w:val="24"/>
          <w:szCs w:val="24"/>
        </w:rPr>
        <w:t>b)- Nüfus Cüzdan Fotokopisi</w:t>
      </w:r>
    </w:p>
    <w:p w:rsidR="00560A0E" w:rsidRDefault="00560A0E" w:rsidP="00560A0E">
      <w:pPr>
        <w:ind w:firstLine="708"/>
        <w:jc w:val="both"/>
        <w:rPr>
          <w:sz w:val="24"/>
          <w:szCs w:val="24"/>
        </w:rPr>
      </w:pPr>
      <w:r>
        <w:rPr>
          <w:sz w:val="24"/>
          <w:szCs w:val="24"/>
        </w:rPr>
        <w:t xml:space="preserve">c)- </w:t>
      </w:r>
      <w:proofErr w:type="gramStart"/>
      <w:r>
        <w:rPr>
          <w:sz w:val="24"/>
          <w:szCs w:val="24"/>
        </w:rPr>
        <w:t>İkametgah</w:t>
      </w:r>
      <w:proofErr w:type="gramEnd"/>
      <w:r>
        <w:rPr>
          <w:sz w:val="24"/>
          <w:szCs w:val="24"/>
        </w:rPr>
        <w:t xml:space="preserve"> belgesi </w:t>
      </w:r>
    </w:p>
    <w:p w:rsidR="00560A0E" w:rsidRDefault="00560A0E" w:rsidP="00560A0E">
      <w:pPr>
        <w:ind w:firstLine="708"/>
        <w:jc w:val="both"/>
        <w:rPr>
          <w:sz w:val="24"/>
          <w:szCs w:val="24"/>
        </w:rPr>
      </w:pPr>
      <w:r>
        <w:rPr>
          <w:sz w:val="24"/>
          <w:szCs w:val="24"/>
        </w:rPr>
        <w:t xml:space="preserve">d)- Savcılık iyi hal </w:t>
      </w:r>
      <w:proofErr w:type="gramStart"/>
      <w:r>
        <w:rPr>
          <w:sz w:val="24"/>
          <w:szCs w:val="24"/>
        </w:rPr>
        <w:t>kağıdı</w:t>
      </w:r>
      <w:proofErr w:type="gramEnd"/>
    </w:p>
    <w:p w:rsidR="00560A0E" w:rsidRDefault="00560A0E" w:rsidP="00560A0E">
      <w:pPr>
        <w:ind w:firstLine="708"/>
        <w:jc w:val="both"/>
        <w:rPr>
          <w:sz w:val="24"/>
          <w:szCs w:val="24"/>
        </w:rPr>
      </w:pPr>
      <w:r>
        <w:rPr>
          <w:sz w:val="24"/>
          <w:szCs w:val="24"/>
        </w:rPr>
        <w:t>e)- Geçici Teminat Makbuzu (</w:t>
      </w:r>
      <w:proofErr w:type="spellStart"/>
      <w:r>
        <w:rPr>
          <w:sz w:val="24"/>
          <w:szCs w:val="24"/>
        </w:rPr>
        <w:t>Muammen</w:t>
      </w:r>
      <w:proofErr w:type="spellEnd"/>
      <w:r>
        <w:rPr>
          <w:sz w:val="24"/>
          <w:szCs w:val="24"/>
        </w:rPr>
        <w:t xml:space="preserve"> Bedelin %3 ü)</w:t>
      </w:r>
    </w:p>
    <w:p w:rsidR="00560A0E" w:rsidRDefault="00560A0E" w:rsidP="00560A0E">
      <w:pPr>
        <w:ind w:firstLine="708"/>
        <w:jc w:val="both"/>
        <w:rPr>
          <w:sz w:val="24"/>
          <w:szCs w:val="24"/>
        </w:rPr>
      </w:pPr>
      <w:r>
        <w:rPr>
          <w:sz w:val="24"/>
          <w:szCs w:val="24"/>
        </w:rPr>
        <w:t>f)- Hayvancılık İşletme Tescil Belgesi ve Kulak Küpe Numaralarını Gösterir Liste</w:t>
      </w:r>
    </w:p>
    <w:p w:rsidR="00560A0E" w:rsidRDefault="00560A0E" w:rsidP="00560A0E">
      <w:pPr>
        <w:ind w:firstLine="708"/>
        <w:jc w:val="both"/>
        <w:rPr>
          <w:sz w:val="24"/>
          <w:szCs w:val="24"/>
        </w:rPr>
      </w:pPr>
      <w:r>
        <w:rPr>
          <w:sz w:val="24"/>
          <w:szCs w:val="24"/>
        </w:rPr>
        <w:t>h)-Tüzel kişiler veya ortakları temsilen ihaleye katılacakların yetki belgesi,</w:t>
      </w:r>
    </w:p>
    <w:p w:rsidR="00560A0E" w:rsidRDefault="00560A0E" w:rsidP="00560A0E">
      <w:pPr>
        <w:ind w:firstLine="708"/>
        <w:jc w:val="both"/>
        <w:rPr>
          <w:sz w:val="24"/>
          <w:szCs w:val="24"/>
        </w:rPr>
      </w:pPr>
      <w:r>
        <w:rPr>
          <w:sz w:val="24"/>
          <w:szCs w:val="24"/>
        </w:rPr>
        <w:t>ı-) Meraya birlikte gelecek olan çobanların ve diğer şahısların nüfus kayıt örnekleri</w:t>
      </w:r>
    </w:p>
    <w:p w:rsidR="00560A0E" w:rsidRDefault="00560A0E" w:rsidP="00560A0E">
      <w:pPr>
        <w:ind w:firstLine="708"/>
        <w:jc w:val="both"/>
        <w:rPr>
          <w:sz w:val="24"/>
          <w:szCs w:val="24"/>
        </w:rPr>
      </w:pPr>
      <w:r>
        <w:rPr>
          <w:sz w:val="24"/>
          <w:szCs w:val="24"/>
        </w:rPr>
        <w:t>j-) Şartname ve eklerini mesai saatleri içerisinde ihale tarihi saati öncesine kadar İl gıda Tarım ve hayvancılık Müdürlüğü TAD Şube Müdürlüğünden ücretsiz olarak alınabilir.</w:t>
      </w:r>
    </w:p>
    <w:p w:rsidR="00560A0E" w:rsidRDefault="00560A0E" w:rsidP="00560A0E">
      <w:pPr>
        <w:jc w:val="both"/>
        <w:rPr>
          <w:sz w:val="24"/>
          <w:szCs w:val="24"/>
        </w:rPr>
      </w:pPr>
      <w:r>
        <w:rPr>
          <w:sz w:val="24"/>
          <w:szCs w:val="24"/>
        </w:rPr>
        <w:t xml:space="preserve">           5-İl dışından gelecek hayvanlar için “ Hayvan Sevklerine Mahsus Yurtiçi Veteriner Sağlık Raporu ve Nakil Belgesi (meraya giriş tarihi olan 15 Mayıs tan bir (1) hafta öncesine kadar ibraz etmek zorundadır.)</w:t>
      </w:r>
    </w:p>
    <w:p w:rsidR="00560A0E" w:rsidRDefault="00560A0E" w:rsidP="00560A0E">
      <w:pPr>
        <w:jc w:val="both"/>
        <w:rPr>
          <w:sz w:val="24"/>
          <w:szCs w:val="24"/>
        </w:rPr>
      </w:pPr>
      <w:r>
        <w:rPr>
          <w:sz w:val="24"/>
          <w:szCs w:val="24"/>
        </w:rPr>
        <w:lastRenderedPageBreak/>
        <w:t xml:space="preserve">           6- İhale komisyonu kiralama yapıp yapmamakta serbesttir.</w:t>
      </w:r>
    </w:p>
    <w:p w:rsidR="00560A0E" w:rsidRDefault="00560A0E" w:rsidP="00560A0E">
      <w:pPr>
        <w:jc w:val="both"/>
        <w:rPr>
          <w:sz w:val="24"/>
          <w:szCs w:val="24"/>
        </w:rPr>
      </w:pPr>
      <w:r>
        <w:rPr>
          <w:sz w:val="24"/>
          <w:szCs w:val="24"/>
        </w:rPr>
        <w:t xml:space="preserve">           7- İl Mera Komisyonumuzun </w:t>
      </w:r>
      <w:proofErr w:type="gramStart"/>
      <w:r>
        <w:rPr>
          <w:sz w:val="24"/>
          <w:szCs w:val="24"/>
        </w:rPr>
        <w:t>14/01/2016</w:t>
      </w:r>
      <w:proofErr w:type="gramEnd"/>
      <w:r>
        <w:rPr>
          <w:sz w:val="24"/>
          <w:szCs w:val="24"/>
        </w:rPr>
        <w:t xml:space="preserve"> tarih ve 468 sayılı karar gereğince Küçükbaş hayvan birimi bedeli asgari 4,9 TL/ay olarak belirlenmiştir.</w:t>
      </w:r>
    </w:p>
    <w:p w:rsidR="00560A0E" w:rsidRDefault="00560A0E" w:rsidP="00560A0E">
      <w:pPr>
        <w:jc w:val="both"/>
        <w:rPr>
          <w:sz w:val="24"/>
          <w:szCs w:val="24"/>
        </w:rPr>
      </w:pPr>
      <w:r>
        <w:rPr>
          <w:sz w:val="24"/>
          <w:szCs w:val="24"/>
        </w:rPr>
        <w:t xml:space="preserve">           8- İsteklilerin kiralamayı istedikleri her bir köy/belde için ayrı ayrı olmak üzere belirtilen gün ve ihale saatine kadar Sivas Defterdarlığı Muhasebe Müdürlüğüne geçici teminat yatırarak makbuzunu Komisyona ibraz etmesi zorunludur.</w:t>
      </w:r>
    </w:p>
    <w:p w:rsidR="00560A0E" w:rsidRDefault="006005DB" w:rsidP="00560A0E">
      <w:pPr>
        <w:pStyle w:val="GvdeMetni"/>
        <w:jc w:val="both"/>
        <w:rPr>
          <w:b w:val="0"/>
          <w:szCs w:val="24"/>
        </w:rPr>
      </w:pPr>
      <w:r>
        <w:rPr>
          <w:b w:val="0"/>
          <w:szCs w:val="24"/>
        </w:rPr>
        <w:t xml:space="preserve">         </w:t>
      </w:r>
      <w:bookmarkStart w:id="0" w:name="_GoBack"/>
      <w:bookmarkEnd w:id="0"/>
      <w:r>
        <w:rPr>
          <w:b w:val="0"/>
          <w:szCs w:val="24"/>
        </w:rPr>
        <w:t xml:space="preserve"> 9</w:t>
      </w:r>
      <w:r w:rsidR="00560A0E">
        <w:rPr>
          <w:b w:val="0"/>
          <w:szCs w:val="24"/>
        </w:rPr>
        <w:t>-</w:t>
      </w:r>
      <w:r w:rsidR="00560A0E">
        <w:rPr>
          <w:szCs w:val="24"/>
        </w:rPr>
        <w:t xml:space="preserve"> </w:t>
      </w:r>
      <w:r w:rsidR="00560A0E">
        <w:rPr>
          <w:b w:val="0"/>
          <w:szCs w:val="24"/>
        </w:rPr>
        <w:t>Kiralama ihalesine katılacak göçerlere ait hayvanların ihale tarihi itibariyle en az 3 ay süreyle işletmede kayıtlı olması gerekmektedir.</w:t>
      </w:r>
    </w:p>
    <w:p w:rsidR="00560A0E" w:rsidRDefault="00560A0E" w:rsidP="00560A0E">
      <w:pPr>
        <w:tabs>
          <w:tab w:val="left" w:pos="495"/>
        </w:tabs>
        <w:jc w:val="both"/>
        <w:rPr>
          <w:b/>
          <w:color w:val="FF0000"/>
          <w:sz w:val="23"/>
          <w:szCs w:val="23"/>
        </w:rPr>
      </w:pPr>
      <w:r>
        <w:rPr>
          <w:color w:val="FF0000"/>
          <w:sz w:val="24"/>
          <w:szCs w:val="24"/>
        </w:rPr>
        <w:t>.</w:t>
      </w:r>
    </w:p>
    <w:p w:rsidR="00560A0E" w:rsidRDefault="00560A0E" w:rsidP="00560A0E">
      <w:pPr>
        <w:tabs>
          <w:tab w:val="left" w:pos="765"/>
        </w:tabs>
        <w:rPr>
          <w:b/>
          <w:sz w:val="23"/>
          <w:szCs w:val="23"/>
        </w:rPr>
      </w:pPr>
      <w:r>
        <w:rPr>
          <w:b/>
          <w:sz w:val="23"/>
          <w:szCs w:val="23"/>
        </w:rPr>
        <w:tab/>
        <w:t>Not: 2014</w:t>
      </w:r>
      <w:r>
        <w:rPr>
          <w:b/>
          <w:sz w:val="24"/>
          <w:szCs w:val="24"/>
        </w:rPr>
        <w:t xml:space="preserve">/1 Sayılı Mera Yaylak ve Kışlakların Kiralanması Teknik Talimatın 9. Maddesinin ( 8 ) .fıkrası gereğince; kiralanacak alan, işletmedeki büyükbaş hayvan birimi cinsinden otlatma kapasitesinin </w:t>
      </w:r>
      <w:proofErr w:type="spellStart"/>
      <w:r>
        <w:rPr>
          <w:b/>
          <w:sz w:val="24"/>
          <w:szCs w:val="24"/>
        </w:rPr>
        <w:t>birbuçuk</w:t>
      </w:r>
      <w:proofErr w:type="spellEnd"/>
      <w:r>
        <w:rPr>
          <w:b/>
          <w:sz w:val="24"/>
          <w:szCs w:val="24"/>
        </w:rPr>
        <w:t xml:space="preserve"> katından fazla olamaz.</w:t>
      </w:r>
    </w:p>
    <w:p w:rsidR="00560A0E" w:rsidRDefault="00560A0E" w:rsidP="00560A0E">
      <w:pPr>
        <w:jc w:val="center"/>
        <w:rPr>
          <w:b/>
          <w:sz w:val="23"/>
          <w:szCs w:val="23"/>
        </w:rPr>
      </w:pPr>
    </w:p>
    <w:p w:rsidR="00560A0E" w:rsidRDefault="00560A0E" w:rsidP="00560A0E">
      <w:pPr>
        <w:jc w:val="center"/>
        <w:rPr>
          <w:b/>
          <w:sz w:val="23"/>
          <w:szCs w:val="23"/>
        </w:rPr>
      </w:pPr>
    </w:p>
    <w:p w:rsidR="00560A0E" w:rsidRDefault="00560A0E" w:rsidP="00560A0E">
      <w:pPr>
        <w:jc w:val="center"/>
        <w:rPr>
          <w:b/>
          <w:sz w:val="23"/>
          <w:szCs w:val="23"/>
        </w:rPr>
      </w:pPr>
    </w:p>
    <w:tbl>
      <w:tblPr>
        <w:tblW w:w="13083" w:type="dxa"/>
        <w:jc w:val="center"/>
        <w:tblInd w:w="55" w:type="dxa"/>
        <w:tblCellMar>
          <w:left w:w="70" w:type="dxa"/>
          <w:right w:w="70" w:type="dxa"/>
        </w:tblCellMar>
        <w:tblLook w:val="04A0" w:firstRow="1" w:lastRow="0" w:firstColumn="1" w:lastColumn="0" w:noHBand="0" w:noVBand="1"/>
      </w:tblPr>
      <w:tblGrid>
        <w:gridCol w:w="780"/>
        <w:gridCol w:w="1500"/>
        <w:gridCol w:w="1900"/>
        <w:gridCol w:w="1163"/>
        <w:gridCol w:w="1460"/>
        <w:gridCol w:w="1160"/>
        <w:gridCol w:w="1300"/>
        <w:gridCol w:w="1660"/>
        <w:gridCol w:w="1100"/>
        <w:gridCol w:w="1060"/>
      </w:tblGrid>
      <w:tr w:rsidR="00560A0E" w:rsidTr="00560A0E">
        <w:trPr>
          <w:trHeight w:val="255"/>
          <w:jc w:val="center"/>
        </w:trPr>
        <w:tc>
          <w:tcPr>
            <w:tcW w:w="13083" w:type="dxa"/>
            <w:gridSpan w:val="10"/>
            <w:tcBorders>
              <w:top w:val="single" w:sz="4" w:space="0" w:color="auto"/>
              <w:left w:val="single" w:sz="4" w:space="0" w:color="auto"/>
              <w:bottom w:val="single" w:sz="4" w:space="0" w:color="auto"/>
              <w:right w:val="single" w:sz="4" w:space="0" w:color="auto"/>
            </w:tcBorders>
            <w:noWrap/>
            <w:vAlign w:val="bottom"/>
            <w:hideMark/>
          </w:tcPr>
          <w:p w:rsidR="00560A0E" w:rsidRDefault="00560A0E">
            <w:pPr>
              <w:jc w:val="center"/>
              <w:rPr>
                <w:b/>
                <w:bCs/>
                <w:color w:val="000000"/>
              </w:rPr>
            </w:pPr>
            <w:r>
              <w:rPr>
                <w:b/>
                <w:bCs/>
                <w:color w:val="000000"/>
              </w:rPr>
              <w:t>2016 YILI GÖÇER AMAÇLI KİRAYA VERİLECEK MERA VE YAYLAKLAR</w:t>
            </w:r>
          </w:p>
        </w:tc>
      </w:tr>
      <w:tr w:rsidR="00560A0E" w:rsidTr="00560A0E">
        <w:trPr>
          <w:trHeight w:val="1950"/>
          <w:jc w:val="center"/>
        </w:trPr>
        <w:tc>
          <w:tcPr>
            <w:tcW w:w="780" w:type="dxa"/>
            <w:tcBorders>
              <w:top w:val="nil"/>
              <w:left w:val="single" w:sz="4" w:space="0" w:color="auto"/>
              <w:bottom w:val="single" w:sz="4" w:space="0" w:color="auto"/>
              <w:right w:val="single" w:sz="4" w:space="0" w:color="auto"/>
            </w:tcBorders>
            <w:vAlign w:val="center"/>
            <w:hideMark/>
          </w:tcPr>
          <w:p w:rsidR="00560A0E" w:rsidRDefault="00560A0E">
            <w:pPr>
              <w:rPr>
                <w:b/>
                <w:bCs/>
                <w:color w:val="000000"/>
              </w:rPr>
            </w:pPr>
            <w:r>
              <w:rPr>
                <w:b/>
                <w:bCs/>
                <w:color w:val="000000"/>
              </w:rPr>
              <w:t>Sıra No</w:t>
            </w:r>
          </w:p>
        </w:tc>
        <w:tc>
          <w:tcPr>
            <w:tcW w:w="150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İlçesi</w:t>
            </w:r>
          </w:p>
        </w:tc>
        <w:tc>
          <w:tcPr>
            <w:tcW w:w="190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Köyü</w:t>
            </w:r>
          </w:p>
        </w:tc>
        <w:tc>
          <w:tcPr>
            <w:tcW w:w="1163"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Kiralamaya Esas Alan (da)</w:t>
            </w:r>
          </w:p>
        </w:tc>
        <w:tc>
          <w:tcPr>
            <w:tcW w:w="146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Kiraya Esas Otlatma Kapasitesi (BBHB)</w:t>
            </w:r>
          </w:p>
        </w:tc>
        <w:tc>
          <w:tcPr>
            <w:tcW w:w="116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Kiraya Esas Otlatma Kapasitesi (küçükbaş)</w:t>
            </w:r>
          </w:p>
        </w:tc>
        <w:tc>
          <w:tcPr>
            <w:tcW w:w="130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proofErr w:type="spellStart"/>
            <w:r>
              <w:rPr>
                <w:b/>
                <w:bCs/>
                <w:color w:val="000000"/>
              </w:rPr>
              <w:t>Muammen</w:t>
            </w:r>
            <w:proofErr w:type="spellEnd"/>
            <w:r>
              <w:rPr>
                <w:b/>
                <w:bCs/>
                <w:color w:val="000000"/>
              </w:rPr>
              <w:t xml:space="preserve"> Bedel (TL) 120 Gün İçin</w:t>
            </w:r>
          </w:p>
        </w:tc>
        <w:tc>
          <w:tcPr>
            <w:tcW w:w="166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Geçici Teminat Bedeli (</w:t>
            </w:r>
            <w:proofErr w:type="spellStart"/>
            <w:r>
              <w:rPr>
                <w:b/>
                <w:bCs/>
                <w:color w:val="000000"/>
              </w:rPr>
              <w:t>Muammen</w:t>
            </w:r>
            <w:proofErr w:type="spellEnd"/>
            <w:r>
              <w:rPr>
                <w:b/>
                <w:bCs/>
                <w:color w:val="000000"/>
              </w:rPr>
              <w:t xml:space="preserve"> Bedelin %3 ü TL)</w:t>
            </w:r>
          </w:p>
        </w:tc>
        <w:tc>
          <w:tcPr>
            <w:tcW w:w="1100" w:type="dxa"/>
            <w:tcBorders>
              <w:top w:val="nil"/>
              <w:left w:val="nil"/>
              <w:bottom w:val="single" w:sz="4" w:space="0" w:color="auto"/>
              <w:right w:val="single" w:sz="4" w:space="0" w:color="auto"/>
            </w:tcBorders>
            <w:vAlign w:val="center"/>
            <w:hideMark/>
          </w:tcPr>
          <w:p w:rsidR="00560A0E" w:rsidRDefault="00560A0E">
            <w:pPr>
              <w:jc w:val="center"/>
              <w:rPr>
                <w:b/>
                <w:bCs/>
                <w:color w:val="000000"/>
              </w:rPr>
            </w:pPr>
            <w:r>
              <w:rPr>
                <w:b/>
                <w:bCs/>
                <w:color w:val="000000"/>
              </w:rPr>
              <w:t>Kira Süresi (ay)</w:t>
            </w:r>
          </w:p>
        </w:tc>
        <w:tc>
          <w:tcPr>
            <w:tcW w:w="1060" w:type="dxa"/>
            <w:tcBorders>
              <w:top w:val="nil"/>
              <w:left w:val="nil"/>
              <w:bottom w:val="nil"/>
              <w:right w:val="single" w:sz="4" w:space="0" w:color="auto"/>
            </w:tcBorders>
            <w:vAlign w:val="center"/>
            <w:hideMark/>
          </w:tcPr>
          <w:p w:rsidR="00560A0E" w:rsidRDefault="00560A0E">
            <w:pPr>
              <w:jc w:val="center"/>
              <w:rPr>
                <w:b/>
                <w:bCs/>
                <w:color w:val="000000"/>
              </w:rPr>
            </w:pPr>
            <w:r>
              <w:rPr>
                <w:b/>
                <w:bCs/>
                <w:color w:val="000000"/>
              </w:rPr>
              <w:t>İhale Saati</w:t>
            </w:r>
          </w:p>
        </w:tc>
      </w:tr>
      <w:tr w:rsidR="00560A0E" w:rsidTr="00560A0E">
        <w:trPr>
          <w:trHeight w:val="255"/>
          <w:jc w:val="center"/>
        </w:trPr>
        <w:tc>
          <w:tcPr>
            <w:tcW w:w="780" w:type="dxa"/>
            <w:tcBorders>
              <w:top w:val="nil"/>
              <w:left w:val="single" w:sz="4" w:space="0" w:color="auto"/>
              <w:bottom w:val="single" w:sz="4" w:space="0" w:color="auto"/>
              <w:right w:val="single" w:sz="4" w:space="0" w:color="auto"/>
            </w:tcBorders>
            <w:noWrap/>
            <w:vAlign w:val="bottom"/>
            <w:hideMark/>
          </w:tcPr>
          <w:p w:rsidR="00560A0E" w:rsidRDefault="00560A0E">
            <w:pPr>
              <w:rPr>
                <w:color w:val="000000"/>
              </w:rPr>
            </w:pPr>
            <w:r>
              <w:rPr>
                <w:color w:val="000000"/>
              </w:rPr>
              <w:t>1</w:t>
            </w:r>
          </w:p>
        </w:tc>
        <w:tc>
          <w:tcPr>
            <w:tcW w:w="1500" w:type="dxa"/>
            <w:tcBorders>
              <w:top w:val="nil"/>
              <w:left w:val="nil"/>
              <w:bottom w:val="single" w:sz="4" w:space="0" w:color="auto"/>
              <w:right w:val="single" w:sz="4" w:space="0" w:color="auto"/>
            </w:tcBorders>
            <w:shd w:val="clear" w:color="auto" w:fill="FFFFFF"/>
            <w:vAlign w:val="center"/>
            <w:hideMark/>
          </w:tcPr>
          <w:p w:rsidR="00560A0E" w:rsidRDefault="00560A0E">
            <w:pPr>
              <w:jc w:val="center"/>
              <w:rPr>
                <w:color w:val="000000"/>
              </w:rPr>
            </w:pPr>
            <w:r>
              <w:rPr>
                <w:color w:val="000000"/>
              </w:rPr>
              <w:t>Merkez</w:t>
            </w:r>
          </w:p>
        </w:tc>
        <w:tc>
          <w:tcPr>
            <w:tcW w:w="1900" w:type="dxa"/>
            <w:tcBorders>
              <w:top w:val="nil"/>
              <w:left w:val="nil"/>
              <w:bottom w:val="single" w:sz="4" w:space="0" w:color="auto"/>
              <w:right w:val="single" w:sz="4" w:space="0" w:color="auto"/>
            </w:tcBorders>
            <w:shd w:val="clear" w:color="auto" w:fill="FFFFFF"/>
            <w:vAlign w:val="center"/>
            <w:hideMark/>
          </w:tcPr>
          <w:p w:rsidR="00560A0E" w:rsidRDefault="00560A0E">
            <w:pPr>
              <w:jc w:val="center"/>
              <w:rPr>
                <w:color w:val="000000"/>
              </w:rPr>
            </w:pPr>
            <w:r>
              <w:rPr>
                <w:color w:val="000000"/>
              </w:rPr>
              <w:t>Kuşlu</w:t>
            </w:r>
          </w:p>
        </w:tc>
        <w:tc>
          <w:tcPr>
            <w:tcW w:w="1163"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12666.507</w:t>
            </w:r>
          </w:p>
        </w:tc>
        <w:tc>
          <w:tcPr>
            <w:tcW w:w="14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143.55</w:t>
            </w:r>
          </w:p>
        </w:tc>
        <w:tc>
          <w:tcPr>
            <w:tcW w:w="11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1,436</w:t>
            </w:r>
          </w:p>
        </w:tc>
        <w:tc>
          <w:tcPr>
            <w:tcW w:w="130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28,136.53</w:t>
            </w:r>
          </w:p>
        </w:tc>
        <w:tc>
          <w:tcPr>
            <w:tcW w:w="16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844.10</w:t>
            </w:r>
          </w:p>
        </w:tc>
        <w:tc>
          <w:tcPr>
            <w:tcW w:w="1100" w:type="dxa"/>
            <w:tcBorders>
              <w:top w:val="nil"/>
              <w:left w:val="nil"/>
              <w:bottom w:val="single" w:sz="4" w:space="0" w:color="auto"/>
              <w:right w:val="nil"/>
            </w:tcBorders>
            <w:noWrap/>
            <w:vAlign w:val="bottom"/>
            <w:hideMark/>
          </w:tcPr>
          <w:p w:rsidR="00560A0E" w:rsidRDefault="00560A0E">
            <w:pPr>
              <w:jc w:val="center"/>
              <w:rPr>
                <w:color w:val="000000"/>
              </w:rPr>
            </w:pPr>
            <w:r>
              <w:rPr>
                <w:color w:val="000000"/>
              </w:rPr>
              <w:t>4 Ay</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60A0E" w:rsidRDefault="00560A0E">
            <w:pPr>
              <w:jc w:val="center"/>
              <w:rPr>
                <w:color w:val="000000"/>
              </w:rPr>
            </w:pPr>
            <w:proofErr w:type="gramStart"/>
            <w:r>
              <w:rPr>
                <w:color w:val="000000"/>
              </w:rPr>
              <w:t>09:00</w:t>
            </w:r>
            <w:proofErr w:type="gramEnd"/>
          </w:p>
        </w:tc>
      </w:tr>
      <w:tr w:rsidR="00560A0E" w:rsidTr="00560A0E">
        <w:trPr>
          <w:trHeight w:val="255"/>
          <w:jc w:val="center"/>
        </w:trPr>
        <w:tc>
          <w:tcPr>
            <w:tcW w:w="780" w:type="dxa"/>
            <w:tcBorders>
              <w:top w:val="nil"/>
              <w:left w:val="single" w:sz="4" w:space="0" w:color="auto"/>
              <w:bottom w:val="single" w:sz="4" w:space="0" w:color="auto"/>
              <w:right w:val="single" w:sz="4" w:space="0" w:color="auto"/>
            </w:tcBorders>
            <w:noWrap/>
            <w:vAlign w:val="bottom"/>
            <w:hideMark/>
          </w:tcPr>
          <w:p w:rsidR="00560A0E" w:rsidRDefault="00560A0E">
            <w:pPr>
              <w:rPr>
                <w:color w:val="000000"/>
              </w:rPr>
            </w:pPr>
            <w:r>
              <w:rPr>
                <w:color w:val="000000"/>
              </w:rPr>
              <w:t>2</w:t>
            </w:r>
          </w:p>
        </w:tc>
        <w:tc>
          <w:tcPr>
            <w:tcW w:w="1500" w:type="dxa"/>
            <w:tcBorders>
              <w:top w:val="nil"/>
              <w:left w:val="nil"/>
              <w:bottom w:val="single" w:sz="4" w:space="0" w:color="auto"/>
              <w:right w:val="single" w:sz="4" w:space="0" w:color="auto"/>
            </w:tcBorders>
            <w:shd w:val="clear" w:color="auto" w:fill="FFFFFF"/>
            <w:vAlign w:val="center"/>
            <w:hideMark/>
          </w:tcPr>
          <w:p w:rsidR="00560A0E" w:rsidRDefault="00560A0E">
            <w:pPr>
              <w:jc w:val="center"/>
              <w:rPr>
                <w:color w:val="000000"/>
              </w:rPr>
            </w:pPr>
            <w:r>
              <w:rPr>
                <w:color w:val="000000"/>
              </w:rPr>
              <w:t>Merkez</w:t>
            </w:r>
          </w:p>
        </w:tc>
        <w:tc>
          <w:tcPr>
            <w:tcW w:w="1900" w:type="dxa"/>
            <w:tcBorders>
              <w:top w:val="nil"/>
              <w:left w:val="nil"/>
              <w:bottom w:val="single" w:sz="4" w:space="0" w:color="auto"/>
              <w:right w:val="single" w:sz="4" w:space="0" w:color="auto"/>
            </w:tcBorders>
            <w:shd w:val="clear" w:color="auto" w:fill="FFFFFF"/>
            <w:vAlign w:val="center"/>
            <w:hideMark/>
          </w:tcPr>
          <w:p w:rsidR="00560A0E" w:rsidRDefault="00560A0E">
            <w:pPr>
              <w:jc w:val="center"/>
              <w:rPr>
                <w:color w:val="000000"/>
              </w:rPr>
            </w:pPr>
            <w:proofErr w:type="spellStart"/>
            <w:r>
              <w:rPr>
                <w:color w:val="000000"/>
              </w:rPr>
              <w:t>Yağmurluseki</w:t>
            </w:r>
            <w:proofErr w:type="spellEnd"/>
          </w:p>
        </w:tc>
        <w:tc>
          <w:tcPr>
            <w:tcW w:w="1163"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9096.13</w:t>
            </w:r>
          </w:p>
        </w:tc>
        <w:tc>
          <w:tcPr>
            <w:tcW w:w="14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103.09</w:t>
            </w:r>
          </w:p>
        </w:tc>
        <w:tc>
          <w:tcPr>
            <w:tcW w:w="11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1,031</w:t>
            </w:r>
          </w:p>
        </w:tc>
        <w:tc>
          <w:tcPr>
            <w:tcW w:w="130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20,205.54</w:t>
            </w:r>
          </w:p>
        </w:tc>
        <w:tc>
          <w:tcPr>
            <w:tcW w:w="16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606.17</w:t>
            </w:r>
          </w:p>
        </w:tc>
        <w:tc>
          <w:tcPr>
            <w:tcW w:w="1100" w:type="dxa"/>
            <w:tcBorders>
              <w:top w:val="nil"/>
              <w:left w:val="nil"/>
              <w:bottom w:val="single" w:sz="4" w:space="0" w:color="auto"/>
              <w:right w:val="nil"/>
            </w:tcBorders>
            <w:noWrap/>
            <w:vAlign w:val="bottom"/>
            <w:hideMark/>
          </w:tcPr>
          <w:p w:rsidR="00560A0E" w:rsidRDefault="00560A0E">
            <w:pPr>
              <w:jc w:val="center"/>
              <w:rPr>
                <w:color w:val="000000"/>
              </w:rPr>
            </w:pPr>
            <w:r>
              <w:rPr>
                <w:color w:val="000000"/>
              </w:rPr>
              <w:t>4 Ay</w:t>
            </w:r>
          </w:p>
        </w:tc>
        <w:tc>
          <w:tcPr>
            <w:tcW w:w="1060" w:type="dxa"/>
            <w:tcBorders>
              <w:top w:val="nil"/>
              <w:left w:val="single" w:sz="4" w:space="0" w:color="auto"/>
              <w:bottom w:val="single" w:sz="4" w:space="0" w:color="auto"/>
              <w:right w:val="single" w:sz="4" w:space="0" w:color="auto"/>
            </w:tcBorders>
            <w:shd w:val="clear" w:color="auto" w:fill="FFFFFF"/>
            <w:vAlign w:val="center"/>
            <w:hideMark/>
          </w:tcPr>
          <w:p w:rsidR="00560A0E" w:rsidRDefault="00560A0E">
            <w:pPr>
              <w:jc w:val="center"/>
              <w:rPr>
                <w:color w:val="000000"/>
              </w:rPr>
            </w:pPr>
            <w:proofErr w:type="gramStart"/>
            <w:r>
              <w:rPr>
                <w:color w:val="000000"/>
              </w:rPr>
              <w:t>09:15</w:t>
            </w:r>
            <w:proofErr w:type="gramEnd"/>
          </w:p>
        </w:tc>
      </w:tr>
      <w:tr w:rsidR="00560A0E" w:rsidTr="00560A0E">
        <w:trPr>
          <w:trHeight w:val="255"/>
          <w:jc w:val="center"/>
        </w:trPr>
        <w:tc>
          <w:tcPr>
            <w:tcW w:w="780" w:type="dxa"/>
            <w:tcBorders>
              <w:top w:val="nil"/>
              <w:left w:val="single" w:sz="4" w:space="0" w:color="auto"/>
              <w:bottom w:val="single" w:sz="4" w:space="0" w:color="auto"/>
              <w:right w:val="single" w:sz="4" w:space="0" w:color="auto"/>
            </w:tcBorders>
            <w:noWrap/>
            <w:vAlign w:val="bottom"/>
            <w:hideMark/>
          </w:tcPr>
          <w:p w:rsidR="00560A0E" w:rsidRDefault="00560A0E">
            <w:pPr>
              <w:rPr>
                <w:color w:val="000000"/>
              </w:rPr>
            </w:pPr>
            <w:r>
              <w:rPr>
                <w:color w:val="000000"/>
              </w:rPr>
              <w:t>3</w:t>
            </w:r>
          </w:p>
        </w:tc>
        <w:tc>
          <w:tcPr>
            <w:tcW w:w="1500" w:type="dxa"/>
            <w:tcBorders>
              <w:top w:val="nil"/>
              <w:left w:val="nil"/>
              <w:bottom w:val="single" w:sz="4" w:space="0" w:color="auto"/>
              <w:right w:val="single" w:sz="4" w:space="0" w:color="auto"/>
            </w:tcBorders>
            <w:shd w:val="clear" w:color="auto" w:fill="FFFFFF"/>
            <w:vAlign w:val="bottom"/>
            <w:hideMark/>
          </w:tcPr>
          <w:p w:rsidR="00560A0E" w:rsidRDefault="00560A0E">
            <w:pPr>
              <w:jc w:val="center"/>
              <w:rPr>
                <w:color w:val="000000"/>
              </w:rPr>
            </w:pPr>
            <w:r>
              <w:rPr>
                <w:color w:val="000000"/>
              </w:rPr>
              <w:t>Ulaş</w:t>
            </w:r>
          </w:p>
        </w:tc>
        <w:tc>
          <w:tcPr>
            <w:tcW w:w="1900" w:type="dxa"/>
            <w:tcBorders>
              <w:top w:val="nil"/>
              <w:left w:val="nil"/>
              <w:bottom w:val="single" w:sz="4" w:space="0" w:color="auto"/>
              <w:right w:val="single" w:sz="4" w:space="0" w:color="auto"/>
            </w:tcBorders>
            <w:shd w:val="clear" w:color="auto" w:fill="FFFFFF"/>
            <w:vAlign w:val="bottom"/>
            <w:hideMark/>
          </w:tcPr>
          <w:p w:rsidR="00560A0E" w:rsidRDefault="00560A0E">
            <w:pPr>
              <w:jc w:val="center"/>
              <w:rPr>
                <w:color w:val="000000"/>
              </w:rPr>
            </w:pPr>
            <w:proofErr w:type="spellStart"/>
            <w:r>
              <w:rPr>
                <w:color w:val="000000"/>
              </w:rPr>
              <w:t>Kapukaya</w:t>
            </w:r>
            <w:proofErr w:type="spellEnd"/>
          </w:p>
        </w:tc>
        <w:tc>
          <w:tcPr>
            <w:tcW w:w="1163"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19811.576</w:t>
            </w:r>
          </w:p>
        </w:tc>
        <w:tc>
          <w:tcPr>
            <w:tcW w:w="14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224.53</w:t>
            </w:r>
          </w:p>
        </w:tc>
        <w:tc>
          <w:tcPr>
            <w:tcW w:w="11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2,245</w:t>
            </w:r>
          </w:p>
        </w:tc>
        <w:tc>
          <w:tcPr>
            <w:tcW w:w="130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44,008.11</w:t>
            </w:r>
          </w:p>
        </w:tc>
        <w:tc>
          <w:tcPr>
            <w:tcW w:w="1660" w:type="dxa"/>
            <w:tcBorders>
              <w:top w:val="nil"/>
              <w:left w:val="nil"/>
              <w:bottom w:val="single" w:sz="4" w:space="0" w:color="auto"/>
              <w:right w:val="single" w:sz="4" w:space="0" w:color="auto"/>
            </w:tcBorders>
            <w:noWrap/>
            <w:vAlign w:val="bottom"/>
            <w:hideMark/>
          </w:tcPr>
          <w:p w:rsidR="00560A0E" w:rsidRDefault="00560A0E">
            <w:pPr>
              <w:jc w:val="center"/>
              <w:rPr>
                <w:color w:val="000000"/>
              </w:rPr>
            </w:pPr>
            <w:r>
              <w:rPr>
                <w:color w:val="000000"/>
              </w:rPr>
              <w:t>1,320.24</w:t>
            </w:r>
          </w:p>
        </w:tc>
        <w:tc>
          <w:tcPr>
            <w:tcW w:w="1100" w:type="dxa"/>
            <w:tcBorders>
              <w:top w:val="nil"/>
              <w:left w:val="nil"/>
              <w:bottom w:val="single" w:sz="4" w:space="0" w:color="auto"/>
              <w:right w:val="nil"/>
            </w:tcBorders>
            <w:noWrap/>
            <w:vAlign w:val="bottom"/>
            <w:hideMark/>
          </w:tcPr>
          <w:p w:rsidR="00560A0E" w:rsidRDefault="00560A0E">
            <w:pPr>
              <w:jc w:val="center"/>
              <w:rPr>
                <w:color w:val="000000"/>
              </w:rPr>
            </w:pPr>
            <w:r>
              <w:rPr>
                <w:color w:val="000000"/>
              </w:rPr>
              <w:t>4 Ay</w:t>
            </w:r>
          </w:p>
        </w:tc>
        <w:tc>
          <w:tcPr>
            <w:tcW w:w="1060" w:type="dxa"/>
            <w:tcBorders>
              <w:top w:val="nil"/>
              <w:left w:val="single" w:sz="4" w:space="0" w:color="auto"/>
              <w:bottom w:val="single" w:sz="4" w:space="0" w:color="auto"/>
              <w:right w:val="single" w:sz="4" w:space="0" w:color="auto"/>
            </w:tcBorders>
            <w:shd w:val="clear" w:color="auto" w:fill="FFFFFF"/>
            <w:vAlign w:val="center"/>
            <w:hideMark/>
          </w:tcPr>
          <w:p w:rsidR="00560A0E" w:rsidRDefault="00560A0E">
            <w:pPr>
              <w:jc w:val="center"/>
              <w:rPr>
                <w:color w:val="000000"/>
              </w:rPr>
            </w:pPr>
            <w:proofErr w:type="gramStart"/>
            <w:r>
              <w:rPr>
                <w:color w:val="000000"/>
              </w:rPr>
              <w:t>09:30</w:t>
            </w:r>
            <w:proofErr w:type="gramEnd"/>
          </w:p>
        </w:tc>
      </w:tr>
      <w:tr w:rsidR="00560A0E" w:rsidTr="00560A0E">
        <w:trPr>
          <w:trHeight w:val="255"/>
          <w:jc w:val="center"/>
        </w:trPr>
        <w:tc>
          <w:tcPr>
            <w:tcW w:w="780" w:type="dxa"/>
            <w:noWrap/>
            <w:vAlign w:val="bottom"/>
            <w:hideMark/>
          </w:tcPr>
          <w:p w:rsidR="00560A0E" w:rsidRDefault="00560A0E"/>
        </w:tc>
        <w:tc>
          <w:tcPr>
            <w:tcW w:w="1500" w:type="dxa"/>
            <w:noWrap/>
            <w:vAlign w:val="bottom"/>
            <w:hideMark/>
          </w:tcPr>
          <w:p w:rsidR="00560A0E" w:rsidRDefault="00560A0E"/>
        </w:tc>
        <w:tc>
          <w:tcPr>
            <w:tcW w:w="1900" w:type="dxa"/>
            <w:noWrap/>
            <w:vAlign w:val="bottom"/>
            <w:hideMark/>
          </w:tcPr>
          <w:p w:rsidR="00560A0E" w:rsidRDefault="00560A0E"/>
        </w:tc>
        <w:tc>
          <w:tcPr>
            <w:tcW w:w="1163" w:type="dxa"/>
            <w:noWrap/>
            <w:vAlign w:val="bottom"/>
            <w:hideMark/>
          </w:tcPr>
          <w:p w:rsidR="00560A0E" w:rsidRDefault="00560A0E"/>
        </w:tc>
        <w:tc>
          <w:tcPr>
            <w:tcW w:w="1460" w:type="dxa"/>
            <w:noWrap/>
            <w:vAlign w:val="bottom"/>
            <w:hideMark/>
          </w:tcPr>
          <w:p w:rsidR="00560A0E" w:rsidRDefault="00560A0E"/>
        </w:tc>
        <w:tc>
          <w:tcPr>
            <w:tcW w:w="1160" w:type="dxa"/>
            <w:noWrap/>
            <w:vAlign w:val="bottom"/>
            <w:hideMark/>
          </w:tcPr>
          <w:p w:rsidR="00560A0E" w:rsidRDefault="00560A0E"/>
        </w:tc>
        <w:tc>
          <w:tcPr>
            <w:tcW w:w="1300" w:type="dxa"/>
            <w:noWrap/>
            <w:vAlign w:val="bottom"/>
            <w:hideMark/>
          </w:tcPr>
          <w:p w:rsidR="00560A0E" w:rsidRDefault="00560A0E"/>
        </w:tc>
        <w:tc>
          <w:tcPr>
            <w:tcW w:w="1660" w:type="dxa"/>
            <w:noWrap/>
            <w:vAlign w:val="bottom"/>
            <w:hideMark/>
          </w:tcPr>
          <w:p w:rsidR="00560A0E" w:rsidRDefault="00560A0E"/>
        </w:tc>
        <w:tc>
          <w:tcPr>
            <w:tcW w:w="1100" w:type="dxa"/>
            <w:noWrap/>
            <w:vAlign w:val="bottom"/>
            <w:hideMark/>
          </w:tcPr>
          <w:p w:rsidR="00560A0E" w:rsidRDefault="00560A0E"/>
        </w:tc>
        <w:tc>
          <w:tcPr>
            <w:tcW w:w="1060" w:type="dxa"/>
            <w:shd w:val="clear" w:color="auto" w:fill="FFFFFF"/>
            <w:vAlign w:val="center"/>
            <w:hideMark/>
          </w:tcPr>
          <w:p w:rsidR="00560A0E" w:rsidRDefault="00560A0E">
            <w:pPr>
              <w:jc w:val="center"/>
              <w:rPr>
                <w:color w:val="000000"/>
              </w:rPr>
            </w:pPr>
            <w:r>
              <w:rPr>
                <w:color w:val="000000"/>
              </w:rPr>
              <w:t> </w:t>
            </w:r>
          </w:p>
        </w:tc>
      </w:tr>
      <w:tr w:rsidR="00560A0E" w:rsidTr="00560A0E">
        <w:trPr>
          <w:trHeight w:val="255"/>
          <w:jc w:val="center"/>
        </w:trPr>
        <w:tc>
          <w:tcPr>
            <w:tcW w:w="780" w:type="dxa"/>
            <w:noWrap/>
            <w:vAlign w:val="bottom"/>
            <w:hideMark/>
          </w:tcPr>
          <w:p w:rsidR="00560A0E" w:rsidRDefault="00560A0E"/>
        </w:tc>
        <w:tc>
          <w:tcPr>
            <w:tcW w:w="1500" w:type="dxa"/>
            <w:noWrap/>
            <w:vAlign w:val="bottom"/>
            <w:hideMark/>
          </w:tcPr>
          <w:p w:rsidR="00560A0E" w:rsidRDefault="00560A0E"/>
        </w:tc>
        <w:tc>
          <w:tcPr>
            <w:tcW w:w="1900" w:type="dxa"/>
            <w:noWrap/>
            <w:vAlign w:val="bottom"/>
            <w:hideMark/>
          </w:tcPr>
          <w:p w:rsidR="00560A0E" w:rsidRDefault="00560A0E"/>
        </w:tc>
        <w:tc>
          <w:tcPr>
            <w:tcW w:w="1163" w:type="dxa"/>
            <w:noWrap/>
            <w:vAlign w:val="bottom"/>
            <w:hideMark/>
          </w:tcPr>
          <w:p w:rsidR="00560A0E" w:rsidRDefault="00560A0E"/>
        </w:tc>
        <w:tc>
          <w:tcPr>
            <w:tcW w:w="1460" w:type="dxa"/>
            <w:noWrap/>
            <w:vAlign w:val="bottom"/>
            <w:hideMark/>
          </w:tcPr>
          <w:p w:rsidR="00560A0E" w:rsidRDefault="00560A0E"/>
        </w:tc>
        <w:tc>
          <w:tcPr>
            <w:tcW w:w="1160" w:type="dxa"/>
            <w:noWrap/>
            <w:vAlign w:val="bottom"/>
            <w:hideMark/>
          </w:tcPr>
          <w:p w:rsidR="00560A0E" w:rsidRDefault="00560A0E"/>
        </w:tc>
        <w:tc>
          <w:tcPr>
            <w:tcW w:w="1300" w:type="dxa"/>
            <w:noWrap/>
            <w:vAlign w:val="bottom"/>
            <w:hideMark/>
          </w:tcPr>
          <w:p w:rsidR="00560A0E" w:rsidRDefault="00560A0E"/>
        </w:tc>
        <w:tc>
          <w:tcPr>
            <w:tcW w:w="1660" w:type="dxa"/>
            <w:noWrap/>
            <w:vAlign w:val="bottom"/>
            <w:hideMark/>
          </w:tcPr>
          <w:p w:rsidR="00560A0E" w:rsidRDefault="00560A0E"/>
        </w:tc>
        <w:tc>
          <w:tcPr>
            <w:tcW w:w="1100" w:type="dxa"/>
            <w:noWrap/>
            <w:vAlign w:val="bottom"/>
            <w:hideMark/>
          </w:tcPr>
          <w:p w:rsidR="00560A0E" w:rsidRDefault="00560A0E"/>
        </w:tc>
        <w:tc>
          <w:tcPr>
            <w:tcW w:w="1060" w:type="dxa"/>
            <w:shd w:val="clear" w:color="auto" w:fill="FFFFFF"/>
            <w:vAlign w:val="center"/>
            <w:hideMark/>
          </w:tcPr>
          <w:p w:rsidR="00560A0E" w:rsidRDefault="00560A0E">
            <w:pPr>
              <w:jc w:val="center"/>
              <w:rPr>
                <w:color w:val="000000"/>
              </w:rPr>
            </w:pPr>
            <w:r>
              <w:rPr>
                <w:color w:val="000000"/>
              </w:rPr>
              <w:t> </w:t>
            </w:r>
          </w:p>
        </w:tc>
      </w:tr>
    </w:tbl>
    <w:p w:rsidR="00560A0E" w:rsidRDefault="00560A0E" w:rsidP="00560A0E">
      <w:pPr>
        <w:jc w:val="center"/>
        <w:rPr>
          <w:b/>
          <w:sz w:val="23"/>
          <w:szCs w:val="23"/>
        </w:rPr>
      </w:pPr>
    </w:p>
    <w:p w:rsidR="00C72519" w:rsidRDefault="00C72519"/>
    <w:sectPr w:rsidR="00C72519" w:rsidSect="00560A0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63"/>
    <w:rsid w:val="00560A0E"/>
    <w:rsid w:val="006005DB"/>
    <w:rsid w:val="00C72519"/>
    <w:rsid w:val="00FC2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0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560A0E"/>
    <w:pPr>
      <w:jc w:val="center"/>
    </w:pPr>
    <w:rPr>
      <w:b/>
      <w:sz w:val="24"/>
    </w:rPr>
  </w:style>
  <w:style w:type="character" w:customStyle="1" w:styleId="GvdeMetniChar">
    <w:name w:val="Gövde Metni Char"/>
    <w:basedOn w:val="VarsaylanParagrafYazTipi"/>
    <w:link w:val="GvdeMetni"/>
    <w:semiHidden/>
    <w:rsid w:val="00560A0E"/>
    <w:rPr>
      <w:rFonts w:ascii="Times New Roman" w:eastAsia="Times New Roman" w:hAnsi="Times New Roman" w:cs="Times New Roman"/>
      <w:b/>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0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560A0E"/>
    <w:pPr>
      <w:jc w:val="center"/>
    </w:pPr>
    <w:rPr>
      <w:b/>
      <w:sz w:val="24"/>
    </w:rPr>
  </w:style>
  <w:style w:type="character" w:customStyle="1" w:styleId="GvdeMetniChar">
    <w:name w:val="Gövde Metni Char"/>
    <w:basedOn w:val="VarsaylanParagrafYazTipi"/>
    <w:link w:val="GvdeMetni"/>
    <w:semiHidden/>
    <w:rsid w:val="00560A0E"/>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44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B41F34-7E1E-4BC3-8FA8-A822B0BA4984}"/>
</file>

<file path=customXml/itemProps2.xml><?xml version="1.0" encoding="utf-8"?>
<ds:datastoreItem xmlns:ds="http://schemas.openxmlformats.org/officeDocument/2006/customXml" ds:itemID="{A83F47FF-E806-43A5-A620-9D270AF4BA8F}"/>
</file>

<file path=customXml/itemProps3.xml><?xml version="1.0" encoding="utf-8"?>
<ds:datastoreItem xmlns:ds="http://schemas.openxmlformats.org/officeDocument/2006/customXml" ds:itemID="{DD7A2D00-D00D-40DB-A0BC-CFBE214424A3}"/>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Company>Hewlett-Packard Company</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Hüseyin Öz</cp:lastModifiedBy>
  <cp:revision>4</cp:revision>
  <dcterms:created xsi:type="dcterms:W3CDTF">2016-05-30T12:22:00Z</dcterms:created>
  <dcterms:modified xsi:type="dcterms:W3CDTF">2016-05-30T12:24:00Z</dcterms:modified>
</cp:coreProperties>
</file>